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A455" w14:textId="77777777" w:rsidR="00EA378E" w:rsidRDefault="000E22FC" w:rsidP="00D805D2">
      <w:pPr>
        <w:rPr>
          <w:rFonts w:ascii="Dax-Regular" w:hAnsi="Dax-Regula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D98D4F7" wp14:editId="3B2EC060">
            <wp:simplePos x="0" y="0"/>
            <wp:positionH relativeFrom="column">
              <wp:posOffset>4533900</wp:posOffset>
            </wp:positionH>
            <wp:positionV relativeFrom="paragraph">
              <wp:posOffset>-276225</wp:posOffset>
            </wp:positionV>
            <wp:extent cx="1608881" cy="643552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81" cy="6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0B970901" wp14:editId="3C4134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49403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8604-blue_flag_cmykd0580144636original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78E" w:rsidRPr="006F4DF5">
        <w:rPr>
          <w:rFonts w:ascii="Dax-Regular" w:hAnsi="Dax-Regular"/>
          <w:noProof/>
          <w:lang w:eastAsia="fr-FR"/>
        </w:rPr>
        <w:drawing>
          <wp:inline distT="0" distB="0" distL="0" distR="0" wp14:anchorId="2C98E9A1" wp14:editId="0147846F">
            <wp:extent cx="1485900" cy="1485900"/>
            <wp:effectExtent l="0" t="0" r="0" b="0"/>
            <wp:docPr id="1" name="Image 1" descr="Y:\LOGO\LAVANDOU-logoCAUD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\LAVANDOU-logoCAUD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4B17" w14:textId="77777777" w:rsidR="00EA378E" w:rsidRDefault="00EA378E" w:rsidP="00EA378E">
      <w:pPr>
        <w:ind w:left="-142"/>
        <w:jc w:val="center"/>
        <w:rPr>
          <w:rFonts w:ascii="Dax-Regular" w:hAnsi="Dax-Regular"/>
          <w:b/>
          <w:sz w:val="28"/>
          <w:szCs w:val="28"/>
        </w:rPr>
      </w:pPr>
    </w:p>
    <w:p w14:paraId="130F6EBA" w14:textId="77777777" w:rsidR="00EA378E" w:rsidRDefault="00EA378E" w:rsidP="00EA378E">
      <w:pPr>
        <w:ind w:left="-142"/>
        <w:jc w:val="center"/>
        <w:rPr>
          <w:rFonts w:ascii="Dax-Regular" w:hAnsi="Dax-Regular"/>
          <w:b/>
          <w:sz w:val="28"/>
          <w:szCs w:val="28"/>
        </w:rPr>
      </w:pPr>
    </w:p>
    <w:p w14:paraId="52177FFB" w14:textId="77777777" w:rsidR="00EA378E" w:rsidRPr="00A100D5" w:rsidRDefault="00EA378E" w:rsidP="00EA378E">
      <w:pPr>
        <w:ind w:left="-142"/>
        <w:jc w:val="center"/>
        <w:rPr>
          <w:rFonts w:ascii="Arial Black" w:hAnsi="Arial Black"/>
          <w:b/>
          <w:sz w:val="28"/>
          <w:szCs w:val="28"/>
        </w:rPr>
      </w:pPr>
      <w:r w:rsidRPr="00A100D5">
        <w:rPr>
          <w:rFonts w:ascii="Arial Black" w:hAnsi="Arial Black"/>
          <w:b/>
          <w:sz w:val="28"/>
          <w:szCs w:val="28"/>
        </w:rPr>
        <w:t>PORT DE PLAISANCE DU LAVANDOU</w:t>
      </w:r>
    </w:p>
    <w:p w14:paraId="6A9592AD" w14:textId="00D3564E" w:rsidR="00EA378E" w:rsidRPr="00A100D5" w:rsidRDefault="00EA378E" w:rsidP="00EA378E">
      <w:pPr>
        <w:ind w:left="-142"/>
        <w:jc w:val="center"/>
        <w:rPr>
          <w:rFonts w:ascii="Arial Black" w:hAnsi="Arial Black"/>
        </w:rPr>
      </w:pPr>
      <w:r w:rsidRPr="00A100D5">
        <w:rPr>
          <w:rFonts w:ascii="Arial Black" w:hAnsi="Arial Black"/>
        </w:rPr>
        <w:t>Quai de l’Europe –</w:t>
      </w:r>
      <w:r w:rsidR="00297D7C" w:rsidRPr="00A100D5">
        <w:rPr>
          <w:rFonts w:ascii="Arial Black" w:hAnsi="Arial Black"/>
        </w:rPr>
        <w:t xml:space="preserve"> </w:t>
      </w:r>
      <w:r w:rsidRPr="00A100D5">
        <w:rPr>
          <w:rFonts w:ascii="Arial Black" w:hAnsi="Arial Black"/>
        </w:rPr>
        <w:t>BP 100</w:t>
      </w:r>
      <w:r w:rsidR="00297D7C" w:rsidRPr="00A100D5">
        <w:rPr>
          <w:rFonts w:ascii="Arial Black" w:hAnsi="Arial Black"/>
        </w:rPr>
        <w:t xml:space="preserve"> </w:t>
      </w:r>
      <w:r w:rsidRPr="00A100D5">
        <w:rPr>
          <w:rFonts w:ascii="Arial Black" w:hAnsi="Arial Black"/>
        </w:rPr>
        <w:t>-</w:t>
      </w:r>
      <w:r w:rsidR="00297D7C" w:rsidRPr="00A100D5">
        <w:rPr>
          <w:rFonts w:ascii="Arial Black" w:hAnsi="Arial Black"/>
        </w:rPr>
        <w:t xml:space="preserve"> </w:t>
      </w:r>
      <w:r w:rsidRPr="00A100D5">
        <w:rPr>
          <w:rFonts w:ascii="Arial Black" w:hAnsi="Arial Black"/>
        </w:rPr>
        <w:t>83980 LE LAVANDOU</w:t>
      </w:r>
    </w:p>
    <w:p w14:paraId="0728F687" w14:textId="77777777" w:rsidR="00EA378E" w:rsidRPr="00A100D5" w:rsidRDefault="00EA378E" w:rsidP="00EA378E">
      <w:pPr>
        <w:ind w:left="-142"/>
        <w:jc w:val="center"/>
        <w:rPr>
          <w:rFonts w:ascii="Arial Black" w:hAnsi="Arial Black"/>
          <w:u w:val="single"/>
        </w:rPr>
      </w:pPr>
      <w:r w:rsidRPr="00A100D5">
        <w:rPr>
          <w:rFonts w:ascii="Arial Black" w:hAnsi="Arial Black"/>
          <w:u w:val="single"/>
        </w:rPr>
        <w:t>Tél : 04.94.00.41.10</w:t>
      </w:r>
    </w:p>
    <w:p w14:paraId="4986604D" w14:textId="77777777" w:rsidR="001E262C" w:rsidRPr="001E262C" w:rsidRDefault="001E262C" w:rsidP="001E262C">
      <w:pPr>
        <w:ind w:left="-142"/>
        <w:jc w:val="center"/>
        <w:rPr>
          <w:rFonts w:ascii="Dax-Regular" w:hAnsi="Dax-Regular"/>
          <w:sz w:val="28"/>
          <w:szCs w:val="28"/>
        </w:rPr>
      </w:pPr>
    </w:p>
    <w:p w14:paraId="1F9D0570" w14:textId="77777777" w:rsidR="001E262C" w:rsidRPr="001E262C" w:rsidRDefault="001E262C" w:rsidP="001E262C">
      <w:pPr>
        <w:ind w:left="-142"/>
        <w:jc w:val="center"/>
        <w:rPr>
          <w:rFonts w:ascii="Dax-Regular" w:hAnsi="Dax-Regular"/>
          <w:sz w:val="28"/>
          <w:szCs w:val="28"/>
        </w:rPr>
      </w:pPr>
    </w:p>
    <w:p w14:paraId="65E657BA" w14:textId="77777777" w:rsidR="001E262C" w:rsidRPr="001E262C" w:rsidRDefault="001E262C" w:rsidP="001E262C">
      <w:pPr>
        <w:ind w:left="-142"/>
        <w:jc w:val="center"/>
        <w:rPr>
          <w:rFonts w:ascii="Dax-Regular" w:hAnsi="Dax-Regular"/>
          <w:sz w:val="28"/>
          <w:szCs w:val="28"/>
        </w:rPr>
      </w:pPr>
    </w:p>
    <w:p w14:paraId="229BBA03" w14:textId="59BD614B" w:rsidR="001E262C" w:rsidRPr="00B958C6" w:rsidRDefault="006F4DF5" w:rsidP="00EA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6946"/>
        </w:tabs>
        <w:ind w:left="-142"/>
        <w:jc w:val="center"/>
        <w:rPr>
          <w:rFonts w:ascii="Arial Black" w:hAnsi="Arial Black"/>
          <w:b/>
          <w:sz w:val="60"/>
          <w:szCs w:val="60"/>
        </w:rPr>
      </w:pPr>
      <w:r w:rsidRPr="00B958C6">
        <w:rPr>
          <w:rFonts w:ascii="Arial Black" w:hAnsi="Arial Black"/>
          <w:b/>
          <w:sz w:val="60"/>
          <w:szCs w:val="60"/>
        </w:rPr>
        <w:t xml:space="preserve">TARIF </w:t>
      </w:r>
      <w:r w:rsidR="00A100D5" w:rsidRPr="00B958C6">
        <w:rPr>
          <w:rFonts w:ascii="Arial Black" w:hAnsi="Arial Black"/>
          <w:b/>
          <w:sz w:val="60"/>
          <w:szCs w:val="60"/>
        </w:rPr>
        <w:t>202</w:t>
      </w:r>
      <w:r w:rsidR="00B958C6">
        <w:rPr>
          <w:rFonts w:ascii="Arial Black" w:hAnsi="Arial Black"/>
          <w:b/>
          <w:sz w:val="60"/>
          <w:szCs w:val="60"/>
        </w:rPr>
        <w:t>5</w:t>
      </w:r>
    </w:p>
    <w:p w14:paraId="4B3BD317" w14:textId="77777777" w:rsidR="006F4DF5" w:rsidRPr="00A100D5" w:rsidRDefault="006F4DF5" w:rsidP="00EA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6946"/>
        </w:tabs>
        <w:ind w:left="-142"/>
        <w:jc w:val="center"/>
        <w:rPr>
          <w:rFonts w:ascii="Arial Black" w:hAnsi="Arial Black"/>
          <w:b/>
          <w:i/>
          <w:sz w:val="24"/>
          <w:szCs w:val="24"/>
        </w:rPr>
      </w:pPr>
      <w:r w:rsidRPr="00A100D5">
        <w:rPr>
          <w:rFonts w:ascii="Arial Black" w:hAnsi="Arial Black"/>
          <w:b/>
          <w:i/>
          <w:sz w:val="24"/>
          <w:szCs w:val="24"/>
        </w:rPr>
        <w:t>Tarif TTC en Euros</w:t>
      </w:r>
    </w:p>
    <w:p w14:paraId="511DF691" w14:textId="77777777" w:rsidR="00EA378E" w:rsidRPr="00A100D5" w:rsidRDefault="00EA378E" w:rsidP="00EA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6946"/>
        </w:tabs>
        <w:ind w:left="-142"/>
        <w:jc w:val="center"/>
        <w:rPr>
          <w:rFonts w:ascii="Arial Black" w:hAnsi="Arial Black"/>
          <w:b/>
          <w:i/>
          <w:sz w:val="24"/>
          <w:szCs w:val="24"/>
        </w:rPr>
      </w:pPr>
      <w:r w:rsidRPr="00A100D5">
        <w:rPr>
          <w:rFonts w:ascii="Arial Black" w:hAnsi="Arial Black"/>
          <w:b/>
          <w:i/>
          <w:sz w:val="24"/>
          <w:szCs w:val="24"/>
        </w:rPr>
        <w:t>Applicables au 1</w:t>
      </w:r>
      <w:r w:rsidRPr="00A100D5">
        <w:rPr>
          <w:rFonts w:ascii="Arial Black" w:hAnsi="Arial Black"/>
          <w:b/>
          <w:i/>
          <w:sz w:val="24"/>
          <w:szCs w:val="24"/>
          <w:vertAlign w:val="superscript"/>
        </w:rPr>
        <w:t>er</w:t>
      </w:r>
      <w:r w:rsidRPr="00A100D5">
        <w:rPr>
          <w:rFonts w:ascii="Arial Black" w:hAnsi="Arial Black"/>
          <w:b/>
          <w:i/>
          <w:sz w:val="24"/>
          <w:szCs w:val="24"/>
        </w:rPr>
        <w:t xml:space="preserve"> janvier </w:t>
      </w:r>
    </w:p>
    <w:p w14:paraId="0588F105" w14:textId="77777777" w:rsidR="006F4DF5" w:rsidRPr="00EA378E" w:rsidRDefault="006F4DF5" w:rsidP="001E262C">
      <w:pPr>
        <w:ind w:left="-142"/>
        <w:jc w:val="center"/>
        <w:rPr>
          <w:rFonts w:ascii="Dax-Regular" w:hAnsi="Dax-Regular"/>
          <w:b/>
          <w:sz w:val="24"/>
          <w:szCs w:val="24"/>
        </w:rPr>
      </w:pPr>
    </w:p>
    <w:p w14:paraId="47032B55" w14:textId="514A7162" w:rsidR="00B958C6" w:rsidRDefault="00B958C6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br w:type="page"/>
      </w:r>
    </w:p>
    <w:p w14:paraId="4026D433" w14:textId="145975A6" w:rsidR="00673F61" w:rsidRPr="00D805D2" w:rsidRDefault="00673F61" w:rsidP="00281235">
      <w:pPr>
        <w:jc w:val="center"/>
        <w:rPr>
          <w:rFonts w:ascii="Arial Black" w:hAnsi="Arial Black"/>
          <w:sz w:val="40"/>
          <w:szCs w:val="40"/>
          <w:u w:val="single"/>
        </w:rPr>
      </w:pPr>
      <w:r w:rsidRPr="00D805D2">
        <w:rPr>
          <w:rFonts w:ascii="Arial Black" w:hAnsi="Arial Black"/>
          <w:sz w:val="40"/>
          <w:szCs w:val="40"/>
          <w:u w:val="single"/>
        </w:rPr>
        <w:lastRenderedPageBreak/>
        <w:t>SOMMAIRE</w:t>
      </w:r>
    </w:p>
    <w:p w14:paraId="2CA774F5" w14:textId="77777777" w:rsidR="00B43B07" w:rsidRPr="00A100D5" w:rsidRDefault="00B43B07" w:rsidP="00673F61">
      <w:pPr>
        <w:ind w:left="-142"/>
        <w:jc w:val="center"/>
        <w:rPr>
          <w:rFonts w:ascii="Arial Black" w:hAnsi="Arial Black"/>
        </w:rPr>
      </w:pPr>
    </w:p>
    <w:p w14:paraId="2F3E98F9" w14:textId="765721C3" w:rsidR="00673F61" w:rsidRPr="00A100D5" w:rsidRDefault="00B958C6" w:rsidP="00B43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-142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I - </w:t>
      </w:r>
      <w:r w:rsidR="00B43B07" w:rsidRPr="00A100D5">
        <w:rPr>
          <w:rFonts w:ascii="Arial Black" w:hAnsi="Arial Black"/>
          <w:sz w:val="32"/>
          <w:szCs w:val="32"/>
        </w:rPr>
        <w:t>REDEVANCE DE STATIONNEMENT &amp; D’AMARRAGE</w:t>
      </w:r>
    </w:p>
    <w:p w14:paraId="0F7F4441" w14:textId="77777777" w:rsidR="00B43B07" w:rsidRPr="00A100D5" w:rsidRDefault="00B43B07" w:rsidP="00281235">
      <w:pPr>
        <w:ind w:left="-142"/>
        <w:rPr>
          <w:rFonts w:ascii="Arial Black" w:hAnsi="Arial Black"/>
          <w:sz w:val="20"/>
          <w:szCs w:val="20"/>
        </w:rPr>
      </w:pPr>
    </w:p>
    <w:p w14:paraId="206A2325" w14:textId="07E619DC" w:rsidR="00B43B07" w:rsidRPr="00A100D5" w:rsidRDefault="00B43B07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559"/>
        <w:rPr>
          <w:rFonts w:ascii="Dax-Regular" w:hAnsi="Dax-Regular"/>
          <w:sz w:val="28"/>
          <w:szCs w:val="28"/>
          <w:u w:val="single"/>
        </w:rPr>
      </w:pPr>
      <w:r w:rsidRPr="00A100D5">
        <w:rPr>
          <w:rFonts w:ascii="Dax-Regular" w:hAnsi="Dax-Regular"/>
          <w:b/>
          <w:sz w:val="28"/>
          <w:szCs w:val="28"/>
          <w:u w:val="single"/>
        </w:rPr>
        <w:t>ARTICLE 1</w:t>
      </w:r>
      <w:r w:rsidRPr="00A100D5">
        <w:rPr>
          <w:rFonts w:ascii="Dax-Regular" w:hAnsi="Dax-Regular"/>
          <w:sz w:val="28"/>
          <w:szCs w:val="28"/>
          <w:u w:val="single"/>
        </w:rPr>
        <w:t xml:space="preserve"> – CONDITIONS GENERALES</w:t>
      </w:r>
    </w:p>
    <w:p w14:paraId="22D2F864" w14:textId="217ACFD6" w:rsidR="00B43B07" w:rsidRPr="00E210ED" w:rsidRDefault="00B43B07" w:rsidP="00281235">
      <w:pPr>
        <w:pStyle w:val="Paragraphedeliste"/>
        <w:numPr>
          <w:ilvl w:val="0"/>
          <w:numId w:val="1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Montant de la redevance de stationnement</w:t>
      </w:r>
    </w:p>
    <w:p w14:paraId="128FE5C7" w14:textId="7F840015" w:rsidR="00B43B07" w:rsidRPr="00E210ED" w:rsidRDefault="00B43B07" w:rsidP="00281235">
      <w:pPr>
        <w:pStyle w:val="Paragraphedeliste"/>
        <w:numPr>
          <w:ilvl w:val="0"/>
          <w:numId w:val="1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Durée de stationnement</w:t>
      </w:r>
    </w:p>
    <w:p w14:paraId="75F2F7E1" w14:textId="06042071" w:rsidR="006D3CB1" w:rsidRPr="008604C8" w:rsidRDefault="006D3CB1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559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>ARTICLE 2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CONDITIONS </w:t>
      </w:r>
      <w:r>
        <w:rPr>
          <w:rFonts w:ascii="Dax-Regular" w:hAnsi="Dax-Regular"/>
          <w:sz w:val="28"/>
          <w:szCs w:val="28"/>
          <w:u w:val="single"/>
        </w:rPr>
        <w:t>PARTICULIERES</w:t>
      </w:r>
    </w:p>
    <w:p w14:paraId="051C63BC" w14:textId="7E2499DA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Application de la redevance</w:t>
      </w:r>
    </w:p>
    <w:p w14:paraId="2D2AD37A" w14:textId="5D2F3C0D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Définition de la longueur </w:t>
      </w:r>
      <w:r w:rsidR="002D6DC4" w:rsidRPr="00E210ED">
        <w:rPr>
          <w:rFonts w:ascii="Dax-Regular" w:hAnsi="Dax-Regular"/>
        </w:rPr>
        <w:t>h</w:t>
      </w:r>
      <w:r w:rsidRPr="00E210ED">
        <w:rPr>
          <w:rFonts w:ascii="Dax-Regular" w:hAnsi="Dax-Regular"/>
        </w:rPr>
        <w:t>ors-tout</w:t>
      </w:r>
    </w:p>
    <w:p w14:paraId="5EFFC14A" w14:textId="781FA24D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Postes </w:t>
      </w:r>
      <w:r w:rsidR="002D6DC4" w:rsidRPr="00E210ED">
        <w:rPr>
          <w:rFonts w:ascii="Dax-Regular" w:hAnsi="Dax-Regular"/>
        </w:rPr>
        <w:t>pour titulaire de droit d’usage</w:t>
      </w:r>
    </w:p>
    <w:p w14:paraId="14A72926" w14:textId="70A24D2B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Redevances pour manifestions nautiques</w:t>
      </w:r>
    </w:p>
    <w:p w14:paraId="6BE2548B" w14:textId="1D776BBA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Forfait mensuel et passager</w:t>
      </w:r>
    </w:p>
    <w:p w14:paraId="64D24C1C" w14:textId="096C70DA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Redevance annuelle</w:t>
      </w:r>
    </w:p>
    <w:p w14:paraId="18D2BAA9" w14:textId="20320A1A" w:rsidR="006D3CB1" w:rsidRPr="00E210ED" w:rsidRDefault="006D3CB1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Accès WIFI</w:t>
      </w:r>
    </w:p>
    <w:p w14:paraId="76B63F3A" w14:textId="3ABA560C" w:rsidR="00344323" w:rsidRPr="00E210ED" w:rsidRDefault="00344323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Machine à glaçons</w:t>
      </w:r>
    </w:p>
    <w:p w14:paraId="0066932D" w14:textId="1983D298" w:rsidR="002D6DC4" w:rsidRPr="00E210ED" w:rsidRDefault="002D6DC4" w:rsidP="00281235">
      <w:pPr>
        <w:pStyle w:val="Paragraphedeliste"/>
        <w:numPr>
          <w:ilvl w:val="0"/>
          <w:numId w:val="9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Activité éco-responsable</w:t>
      </w:r>
    </w:p>
    <w:p w14:paraId="1BC6BBCE" w14:textId="7132C897" w:rsidR="00B63E45" w:rsidRPr="008604C8" w:rsidRDefault="00B63E45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559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3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</w:t>
      </w:r>
      <w:r>
        <w:rPr>
          <w:rFonts w:ascii="Dax-Regular" w:hAnsi="Dax-Regular"/>
          <w:sz w:val="28"/>
          <w:szCs w:val="28"/>
          <w:u w:val="single"/>
        </w:rPr>
        <w:t>FOURNITURE DES FLUIDES</w:t>
      </w:r>
    </w:p>
    <w:p w14:paraId="321F965E" w14:textId="769064CF" w:rsidR="00B63E45" w:rsidRPr="00E210ED" w:rsidRDefault="00B63E45" w:rsidP="00281235">
      <w:pPr>
        <w:pStyle w:val="Paragraphedeliste"/>
        <w:numPr>
          <w:ilvl w:val="0"/>
          <w:numId w:val="17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Eau douce</w:t>
      </w:r>
    </w:p>
    <w:p w14:paraId="4BF16571" w14:textId="4CA01356" w:rsidR="00344323" w:rsidRPr="00E210ED" w:rsidRDefault="00B63E45" w:rsidP="00281235">
      <w:pPr>
        <w:pStyle w:val="Paragraphedeliste"/>
        <w:numPr>
          <w:ilvl w:val="0"/>
          <w:numId w:val="17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Energie électrique</w:t>
      </w:r>
    </w:p>
    <w:p w14:paraId="736377C9" w14:textId="44462B9C" w:rsidR="006D3CB1" w:rsidRPr="008604C8" w:rsidRDefault="006D3CB1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559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 w:rsidR="00B63E45">
        <w:rPr>
          <w:rFonts w:ascii="Dax-Regular" w:hAnsi="Dax-Regular"/>
          <w:b/>
          <w:sz w:val="28"/>
          <w:szCs w:val="28"/>
          <w:u w:val="single"/>
        </w:rPr>
        <w:t>4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</w:t>
      </w:r>
      <w:r>
        <w:rPr>
          <w:rFonts w:ascii="Dax-Regular" w:hAnsi="Dax-Regular"/>
          <w:sz w:val="28"/>
          <w:szCs w:val="28"/>
          <w:u w:val="single"/>
        </w:rPr>
        <w:t>REDEVANCES DE STATIONNEMENT ET D’AMARRAGE</w:t>
      </w:r>
    </w:p>
    <w:p w14:paraId="49F74996" w14:textId="6D918A0A" w:rsidR="00B43B07" w:rsidRPr="00E210ED" w:rsidRDefault="00B43B07" w:rsidP="00281235">
      <w:pPr>
        <w:pStyle w:val="Paragraphedeliste"/>
        <w:numPr>
          <w:ilvl w:val="0"/>
          <w:numId w:val="23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Redevance de stationnement </w:t>
      </w:r>
      <w:r w:rsidR="00365530" w:rsidRPr="00E210ED">
        <w:rPr>
          <w:rFonts w:ascii="Dax-Regular" w:hAnsi="Dax-Regular"/>
        </w:rPr>
        <w:t>et a</w:t>
      </w:r>
      <w:r w:rsidRPr="00E210ED">
        <w:rPr>
          <w:rFonts w:ascii="Dax-Regular" w:hAnsi="Dax-Regular"/>
        </w:rPr>
        <w:t>marrage – Annuel</w:t>
      </w:r>
    </w:p>
    <w:p w14:paraId="2ECEEB2A" w14:textId="63485BF9" w:rsidR="00B43B07" w:rsidRPr="00E210ED" w:rsidRDefault="00B43B07" w:rsidP="00281235">
      <w:pPr>
        <w:pStyle w:val="Paragraphedeliste"/>
        <w:numPr>
          <w:ilvl w:val="0"/>
          <w:numId w:val="23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Redevance de stationnement </w:t>
      </w:r>
      <w:r w:rsidR="00365530" w:rsidRPr="00E210ED">
        <w:rPr>
          <w:rFonts w:ascii="Dax-Regular" w:hAnsi="Dax-Regular"/>
        </w:rPr>
        <w:t>et a</w:t>
      </w:r>
      <w:r w:rsidRPr="00E210ED">
        <w:rPr>
          <w:rFonts w:ascii="Dax-Regular" w:hAnsi="Dax-Regular"/>
        </w:rPr>
        <w:t>marrage – Nuitée &amp; mois</w:t>
      </w:r>
    </w:p>
    <w:p w14:paraId="0C3BD153" w14:textId="77777777" w:rsidR="00281235" w:rsidRPr="00E210ED" w:rsidRDefault="00281235" w:rsidP="00281235">
      <w:pPr>
        <w:pStyle w:val="Paragraphedeliste"/>
        <w:numPr>
          <w:ilvl w:val="0"/>
          <w:numId w:val="23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Redevance Taxe de séjour</w:t>
      </w:r>
    </w:p>
    <w:p w14:paraId="532084C5" w14:textId="5303E918" w:rsidR="00B43B07" w:rsidRPr="00E210ED" w:rsidRDefault="00281235" w:rsidP="00281235">
      <w:pPr>
        <w:pStyle w:val="Paragraphedeliste"/>
        <w:numPr>
          <w:ilvl w:val="0"/>
          <w:numId w:val="23"/>
        </w:numPr>
        <w:ind w:right="1559"/>
        <w:rPr>
          <w:rFonts w:ascii="Dax-Regular" w:hAnsi="Dax-Regular"/>
        </w:rPr>
      </w:pPr>
      <w:r w:rsidRPr="00E210ED">
        <w:rPr>
          <w:rFonts w:ascii="Dax-Regular" w:hAnsi="Dax-Regular"/>
        </w:rPr>
        <w:t>Redevance Passager</w:t>
      </w:r>
    </w:p>
    <w:p w14:paraId="37626A9A" w14:textId="4A6623FB" w:rsidR="006B4958" w:rsidRDefault="006B4958">
      <w:pPr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br w:type="page"/>
      </w:r>
    </w:p>
    <w:p w14:paraId="3EABBEFB" w14:textId="77777777" w:rsidR="007522C0" w:rsidRDefault="007522C0" w:rsidP="00F1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-142"/>
        <w:jc w:val="center"/>
        <w:rPr>
          <w:rFonts w:ascii="Arial Black" w:hAnsi="Arial Black"/>
          <w:b/>
          <w:sz w:val="32"/>
          <w:szCs w:val="32"/>
        </w:rPr>
      </w:pPr>
      <w:r w:rsidRPr="00F12283">
        <w:rPr>
          <w:rFonts w:ascii="Arial Black" w:hAnsi="Arial Black"/>
          <w:b/>
          <w:sz w:val="32"/>
          <w:szCs w:val="32"/>
        </w:rPr>
        <w:lastRenderedPageBreak/>
        <w:t xml:space="preserve">II - OUTILLAGE PUBLIC </w:t>
      </w:r>
    </w:p>
    <w:p w14:paraId="068B8818" w14:textId="77777777" w:rsidR="00F12283" w:rsidRPr="00F12283" w:rsidRDefault="00F12283" w:rsidP="00F12283">
      <w:pPr>
        <w:ind w:left="-142"/>
        <w:jc w:val="center"/>
        <w:rPr>
          <w:rFonts w:ascii="Arial Black" w:hAnsi="Arial Black"/>
          <w:b/>
          <w:sz w:val="24"/>
          <w:szCs w:val="24"/>
        </w:rPr>
      </w:pPr>
    </w:p>
    <w:p w14:paraId="5DCA65CB" w14:textId="77777777" w:rsidR="007522C0" w:rsidRPr="008604C8" w:rsidRDefault="007522C0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417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>ARTICLE 1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>- CALE DE MISE A L’EAU &amp; REMORQUAGE</w:t>
      </w:r>
    </w:p>
    <w:p w14:paraId="07EA9B23" w14:textId="637C6CAA" w:rsidR="00366230" w:rsidRPr="00E210ED" w:rsidRDefault="00366230" w:rsidP="00281235">
      <w:pPr>
        <w:pStyle w:val="Paragraphedeliste"/>
        <w:numPr>
          <w:ilvl w:val="0"/>
          <w:numId w:val="3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Cale de mise à l’eau</w:t>
      </w:r>
    </w:p>
    <w:p w14:paraId="4E4E4FCD" w14:textId="69752AE5" w:rsidR="00366230" w:rsidRPr="00E210ED" w:rsidRDefault="00366230" w:rsidP="00281235">
      <w:pPr>
        <w:pStyle w:val="Paragraphedeliste"/>
        <w:numPr>
          <w:ilvl w:val="0"/>
          <w:numId w:val="3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Remorquage des bateaux</w:t>
      </w:r>
    </w:p>
    <w:p w14:paraId="2D584D41" w14:textId="0AA829C2" w:rsidR="00366230" w:rsidRPr="00E210ED" w:rsidRDefault="00366230" w:rsidP="00281235">
      <w:pPr>
        <w:pStyle w:val="Paragraphedeliste"/>
        <w:numPr>
          <w:ilvl w:val="0"/>
          <w:numId w:val="3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Prestations diverses de fonctionnement </w:t>
      </w:r>
    </w:p>
    <w:p w14:paraId="39E11690" w14:textId="77777777" w:rsidR="007522C0" w:rsidRPr="008604C8" w:rsidRDefault="007522C0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417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2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 xml:space="preserve">- REDEVANCES D’OCCUPATION DU DOMAINE PUBLIC MARITIME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57E4CCC8" w14:textId="2169E1DC" w:rsidR="00366230" w:rsidRPr="00E210ED" w:rsidRDefault="00366230" w:rsidP="00281235">
      <w:pPr>
        <w:pStyle w:val="Paragraphedeliste"/>
        <w:numPr>
          <w:ilvl w:val="0"/>
          <w:numId w:val="4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Terrasse hors zone piétonne</w:t>
      </w:r>
    </w:p>
    <w:p w14:paraId="3868A40A" w14:textId="257AC7EA" w:rsidR="00366230" w:rsidRPr="00E210ED" w:rsidRDefault="00366230" w:rsidP="00281235">
      <w:pPr>
        <w:pStyle w:val="Paragraphedeliste"/>
        <w:numPr>
          <w:ilvl w:val="0"/>
          <w:numId w:val="4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Terrasse Zone piétonne</w:t>
      </w:r>
    </w:p>
    <w:p w14:paraId="2101F5C5" w14:textId="7AF5B982" w:rsidR="00366230" w:rsidRPr="00E210ED" w:rsidRDefault="00366230" w:rsidP="00281235">
      <w:pPr>
        <w:pStyle w:val="Paragraphedeliste"/>
        <w:numPr>
          <w:ilvl w:val="0"/>
          <w:numId w:val="4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Occupation Illicite du domaine public</w:t>
      </w:r>
    </w:p>
    <w:p w14:paraId="410BBC06" w14:textId="2F67FA66" w:rsidR="00366230" w:rsidRPr="00E210ED" w:rsidRDefault="00F12283" w:rsidP="00281235">
      <w:pPr>
        <w:pStyle w:val="Paragraphedeliste"/>
        <w:numPr>
          <w:ilvl w:val="0"/>
          <w:numId w:val="4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Terreplein</w:t>
      </w:r>
    </w:p>
    <w:p w14:paraId="3FA51238" w14:textId="21969948" w:rsidR="00366230" w:rsidRPr="00E210ED" w:rsidRDefault="00366230" w:rsidP="00281235">
      <w:pPr>
        <w:pStyle w:val="Paragraphedeliste"/>
        <w:numPr>
          <w:ilvl w:val="0"/>
          <w:numId w:val="43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Signalétique </w:t>
      </w:r>
    </w:p>
    <w:p w14:paraId="59254BC3" w14:textId="77777777" w:rsidR="007522C0" w:rsidRPr="008604C8" w:rsidRDefault="007522C0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417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3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 xml:space="preserve">- REDEVANCES DE STATIONNEMENT DE VEHICULES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06D84BC3" w14:textId="77777777" w:rsidR="007522C0" w:rsidRPr="00E210ED" w:rsidRDefault="007522C0" w:rsidP="00281235">
      <w:pPr>
        <w:pStyle w:val="Paragraphedeliste"/>
        <w:numPr>
          <w:ilvl w:val="0"/>
          <w:numId w:val="34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Parking Capitainerie</w:t>
      </w:r>
    </w:p>
    <w:p w14:paraId="32DF3C1A" w14:textId="77777777" w:rsidR="007522C0" w:rsidRPr="00E210ED" w:rsidRDefault="007522C0" w:rsidP="00281235">
      <w:pPr>
        <w:pStyle w:val="Paragraphedeliste"/>
        <w:numPr>
          <w:ilvl w:val="0"/>
          <w:numId w:val="34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Parking Aérien</w:t>
      </w:r>
    </w:p>
    <w:p w14:paraId="39117721" w14:textId="77777777" w:rsidR="007522C0" w:rsidRPr="00E210ED" w:rsidRDefault="007522C0" w:rsidP="00281235">
      <w:pPr>
        <w:pStyle w:val="Paragraphedeliste"/>
        <w:numPr>
          <w:ilvl w:val="0"/>
          <w:numId w:val="34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Abonnement parking professionnels du tourisme</w:t>
      </w:r>
    </w:p>
    <w:p w14:paraId="6E1403FA" w14:textId="77777777" w:rsidR="007522C0" w:rsidRPr="00E210ED" w:rsidRDefault="007522C0" w:rsidP="00281235">
      <w:pPr>
        <w:pStyle w:val="Paragraphedeliste"/>
        <w:numPr>
          <w:ilvl w:val="0"/>
          <w:numId w:val="34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Parking des Iles d’or</w:t>
      </w:r>
    </w:p>
    <w:p w14:paraId="10E9899B" w14:textId="77777777" w:rsidR="007522C0" w:rsidRPr="00E210ED" w:rsidRDefault="007522C0" w:rsidP="00281235">
      <w:pPr>
        <w:pStyle w:val="Paragraphedeliste"/>
        <w:numPr>
          <w:ilvl w:val="0"/>
          <w:numId w:val="34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Parking voiries du Quai Baptistin Pins et contrebas de l’avenue Louis </w:t>
      </w:r>
      <w:proofErr w:type="spellStart"/>
      <w:r w:rsidRPr="00E210ED">
        <w:rPr>
          <w:rFonts w:ascii="Dax-Regular" w:hAnsi="Dax-Regular"/>
        </w:rPr>
        <w:t>Faedda</w:t>
      </w:r>
      <w:proofErr w:type="spellEnd"/>
    </w:p>
    <w:p w14:paraId="6A50B57B" w14:textId="77777777" w:rsidR="007522C0" w:rsidRPr="00E210ED" w:rsidRDefault="007522C0" w:rsidP="00281235">
      <w:pPr>
        <w:pStyle w:val="Paragraphedeliste"/>
        <w:numPr>
          <w:ilvl w:val="0"/>
          <w:numId w:val="34"/>
        </w:numPr>
        <w:ind w:right="1417"/>
        <w:rPr>
          <w:rFonts w:ascii="Dax-Regular" w:hAnsi="Dax-Regular"/>
        </w:rPr>
      </w:pPr>
      <w:r w:rsidRPr="00E210ED">
        <w:rPr>
          <w:rFonts w:ascii="Dax-Regular" w:hAnsi="Dax-Regular"/>
        </w:rPr>
        <w:t>Parking Hôteliers</w:t>
      </w:r>
    </w:p>
    <w:p w14:paraId="354F1609" w14:textId="77777777" w:rsidR="007522C0" w:rsidRDefault="007522C0" w:rsidP="00281235">
      <w:pPr>
        <w:ind w:left="-142" w:right="1417"/>
        <w:rPr>
          <w:rFonts w:ascii="Dax-Regular" w:hAnsi="Dax-Regular"/>
          <w:sz w:val="20"/>
          <w:szCs w:val="20"/>
        </w:rPr>
      </w:pPr>
    </w:p>
    <w:p w14:paraId="360D35C1" w14:textId="77777777" w:rsidR="007522C0" w:rsidRPr="008604C8" w:rsidRDefault="007522C0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417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4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 xml:space="preserve">- REDEVANCES DE PRISE DE VUE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33D408D4" w14:textId="77777777" w:rsidR="007522C0" w:rsidRDefault="007522C0" w:rsidP="00281235">
      <w:pPr>
        <w:ind w:left="-142" w:right="1417"/>
        <w:jc w:val="center"/>
        <w:rPr>
          <w:rFonts w:ascii="Dax-Regular" w:hAnsi="Dax-Regular"/>
          <w:sz w:val="20"/>
          <w:szCs w:val="20"/>
        </w:rPr>
      </w:pPr>
    </w:p>
    <w:p w14:paraId="68636D14" w14:textId="77777777" w:rsidR="007522C0" w:rsidRPr="008604C8" w:rsidRDefault="007522C0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417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5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 xml:space="preserve">- CARBURANT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495C7DB8" w14:textId="77777777" w:rsidR="007522C0" w:rsidRDefault="007522C0" w:rsidP="00281235">
      <w:pPr>
        <w:ind w:left="-142" w:right="1417"/>
        <w:jc w:val="center"/>
        <w:rPr>
          <w:rFonts w:ascii="Dax-Regular" w:hAnsi="Dax-Regular"/>
          <w:sz w:val="20"/>
          <w:szCs w:val="20"/>
        </w:rPr>
      </w:pPr>
    </w:p>
    <w:p w14:paraId="7C4FD36E" w14:textId="77777777" w:rsidR="007522C0" w:rsidRPr="008604C8" w:rsidRDefault="007522C0" w:rsidP="002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 w:right="1417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 xml:space="preserve">6 </w:t>
      </w:r>
      <w:r>
        <w:rPr>
          <w:rFonts w:ascii="Dax-Regular" w:hAnsi="Dax-Regular"/>
          <w:sz w:val="28"/>
          <w:szCs w:val="28"/>
          <w:u w:val="single"/>
        </w:rPr>
        <w:t xml:space="preserve">FOURNITURES DES FLUIDES  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1D6F3021" w14:textId="77777777" w:rsidR="007522C0" w:rsidRPr="00E210ED" w:rsidRDefault="007522C0" w:rsidP="00366230">
      <w:pPr>
        <w:pStyle w:val="Paragraphedeliste"/>
        <w:numPr>
          <w:ilvl w:val="0"/>
          <w:numId w:val="40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Eau douce </w:t>
      </w:r>
    </w:p>
    <w:p w14:paraId="4D961D8E" w14:textId="77777777" w:rsidR="007522C0" w:rsidRPr="00E210ED" w:rsidRDefault="007522C0" w:rsidP="00366230">
      <w:pPr>
        <w:pStyle w:val="Paragraphedeliste"/>
        <w:numPr>
          <w:ilvl w:val="0"/>
          <w:numId w:val="40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Energie électrique </w:t>
      </w:r>
    </w:p>
    <w:p w14:paraId="12F8B9F0" w14:textId="77777777" w:rsidR="007522C0" w:rsidRPr="00E210ED" w:rsidRDefault="007522C0" w:rsidP="00366230">
      <w:pPr>
        <w:pStyle w:val="Paragraphedeliste"/>
        <w:numPr>
          <w:ilvl w:val="0"/>
          <w:numId w:val="40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Fourniture d’eau potable pour passager en escale</w:t>
      </w:r>
    </w:p>
    <w:p w14:paraId="6B01EE7F" w14:textId="77777777" w:rsidR="007522C0" w:rsidRPr="00E210ED" w:rsidRDefault="007522C0" w:rsidP="00366230">
      <w:pPr>
        <w:pStyle w:val="Paragraphedeliste"/>
        <w:numPr>
          <w:ilvl w:val="0"/>
          <w:numId w:val="40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Pompe à « eaux noires »</w:t>
      </w:r>
    </w:p>
    <w:p w14:paraId="44C352F5" w14:textId="77777777" w:rsidR="00B958C6" w:rsidRDefault="00B958C6" w:rsidP="00B43B07">
      <w:pPr>
        <w:ind w:left="-142"/>
        <w:rPr>
          <w:rFonts w:ascii="Dax-Regular" w:hAnsi="Dax-Regular"/>
          <w:sz w:val="24"/>
          <w:szCs w:val="24"/>
        </w:rPr>
      </w:pPr>
    </w:p>
    <w:p w14:paraId="279A36ED" w14:textId="77777777" w:rsidR="007522C0" w:rsidRDefault="007522C0" w:rsidP="00B43B07">
      <w:pPr>
        <w:ind w:left="-142"/>
        <w:rPr>
          <w:rFonts w:ascii="Dax-Regular" w:hAnsi="Dax-Regular"/>
          <w:sz w:val="24"/>
          <w:szCs w:val="24"/>
        </w:rPr>
      </w:pPr>
    </w:p>
    <w:p w14:paraId="630A944F" w14:textId="77777777" w:rsidR="007522C0" w:rsidRDefault="007522C0" w:rsidP="00B43B07">
      <w:pPr>
        <w:ind w:left="-142"/>
        <w:rPr>
          <w:rFonts w:ascii="Dax-Regular" w:hAnsi="Dax-Regular"/>
          <w:sz w:val="24"/>
          <w:szCs w:val="24"/>
        </w:rPr>
      </w:pPr>
    </w:p>
    <w:p w14:paraId="1F5DBAAE" w14:textId="69CF7874" w:rsidR="007522C0" w:rsidRDefault="007522C0">
      <w:pPr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br w:type="page"/>
      </w:r>
    </w:p>
    <w:p w14:paraId="77E931B0" w14:textId="03D5893A" w:rsidR="00EF1575" w:rsidRPr="00A100D5" w:rsidRDefault="003C2E5D" w:rsidP="00EF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-142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 xml:space="preserve">I - </w:t>
      </w:r>
      <w:r w:rsidR="00EF1575" w:rsidRPr="00A100D5">
        <w:rPr>
          <w:rFonts w:ascii="Arial Black" w:hAnsi="Arial Black"/>
          <w:b/>
          <w:sz w:val="28"/>
          <w:szCs w:val="28"/>
        </w:rPr>
        <w:t>REDEVANCE DE STATIONNEMENT &amp; D’AMARRAGE</w:t>
      </w:r>
    </w:p>
    <w:p w14:paraId="2CE4F263" w14:textId="77777777" w:rsidR="003F07E4" w:rsidRDefault="003F07E4">
      <w:pPr>
        <w:rPr>
          <w:rFonts w:ascii="Dax-Regular" w:hAnsi="Dax-Regular"/>
          <w:sz w:val="24"/>
          <w:szCs w:val="24"/>
        </w:rPr>
      </w:pPr>
    </w:p>
    <w:p w14:paraId="66337D8E" w14:textId="77777777" w:rsidR="003F07E4" w:rsidRPr="008604C8" w:rsidRDefault="003F07E4" w:rsidP="0086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>ARTICLE 1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CONDITIONS GENERALES </w:t>
      </w:r>
    </w:p>
    <w:p w14:paraId="60649643" w14:textId="6B5E4779" w:rsidR="0024136F" w:rsidRPr="00E210ED" w:rsidRDefault="00313DF2">
      <w:pPr>
        <w:rPr>
          <w:rFonts w:ascii="Dax-Regular" w:hAnsi="Dax-Regular"/>
          <w:i/>
        </w:rPr>
      </w:pPr>
      <w:r w:rsidRPr="00E210ED">
        <w:rPr>
          <w:rFonts w:ascii="Dax-Regular" w:hAnsi="Dax-Regular"/>
          <w:i/>
        </w:rPr>
        <w:t>Article R5321-19 du code des transports : « La Redevance sur le navire et, le cas échéant, la redevance de stationnement sont à la charge de l’armateur. »</w:t>
      </w:r>
    </w:p>
    <w:p w14:paraId="5C76CEDC" w14:textId="77777777" w:rsidR="00313DF2" w:rsidRPr="00E210ED" w:rsidRDefault="00313DF2">
      <w:pPr>
        <w:rPr>
          <w:rFonts w:ascii="Dax-Regular" w:hAnsi="Dax-Regular"/>
          <w:bCs/>
        </w:rPr>
      </w:pPr>
    </w:p>
    <w:p w14:paraId="0DE574D7" w14:textId="6A9FFC11" w:rsidR="0024136F" w:rsidRPr="00E210ED" w:rsidRDefault="0024136F" w:rsidP="00F22E67">
      <w:pPr>
        <w:pStyle w:val="Paragraphedeliste"/>
        <w:numPr>
          <w:ilvl w:val="0"/>
          <w:numId w:val="24"/>
        </w:numPr>
        <w:shd w:val="clear" w:color="auto" w:fill="F7CAAC" w:themeFill="accent2" w:themeFillTint="66"/>
        <w:rPr>
          <w:rFonts w:ascii="Dax-Regular" w:hAnsi="Dax-Regular"/>
          <w:bCs/>
        </w:rPr>
      </w:pPr>
      <w:r w:rsidRPr="00E210ED">
        <w:rPr>
          <w:rFonts w:ascii="Dax-Regular" w:hAnsi="Dax-Regular"/>
          <w:bCs/>
        </w:rPr>
        <w:t>Montant de la redevance de stationnement </w:t>
      </w:r>
    </w:p>
    <w:p w14:paraId="36C0102E" w14:textId="77777777" w:rsidR="0024136F" w:rsidRPr="00E210ED" w:rsidRDefault="0024136F" w:rsidP="008604C8">
      <w:pPr>
        <w:pStyle w:val="Paragraphedeliste"/>
        <w:jc w:val="both"/>
        <w:rPr>
          <w:rFonts w:ascii="Dax-Regular" w:hAnsi="Dax-Regular"/>
        </w:rPr>
      </w:pPr>
    </w:p>
    <w:p w14:paraId="013997C5" w14:textId="67237D74" w:rsidR="0024136F" w:rsidRPr="00E210ED" w:rsidRDefault="0024136F" w:rsidP="008604C8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Le montant de la redevance de stationnement et d’amarrage est calculé en fonction de la durée de stationnement du navire dans le port du Lavandou, ainsi que </w:t>
      </w:r>
      <w:r w:rsidR="007C07CB" w:rsidRPr="00E210ED">
        <w:rPr>
          <w:rFonts w:ascii="Dax-Regular" w:hAnsi="Dax-Regular"/>
        </w:rPr>
        <w:t>ses dimensions maximales</w:t>
      </w:r>
      <w:r w:rsidR="00E97A29" w:rsidRPr="00E210ED">
        <w:rPr>
          <w:rFonts w:ascii="Dax-Regular" w:hAnsi="Dax-Regular"/>
        </w:rPr>
        <w:t xml:space="preserve"> hors</w:t>
      </w:r>
      <w:r w:rsidR="00A06FE2" w:rsidRPr="00E210ED">
        <w:rPr>
          <w:rFonts w:ascii="Dax-Regular" w:hAnsi="Dax-Regular"/>
        </w:rPr>
        <w:t>-</w:t>
      </w:r>
      <w:r w:rsidR="00E97A29" w:rsidRPr="00E210ED">
        <w:rPr>
          <w:rFonts w:ascii="Dax-Regular" w:hAnsi="Dax-Regular"/>
        </w:rPr>
        <w:t>tout</w:t>
      </w:r>
      <w:r w:rsidR="007C07CB" w:rsidRPr="00E210ED">
        <w:rPr>
          <w:rFonts w:ascii="Dax-Regular" w:hAnsi="Dax-Regular"/>
        </w:rPr>
        <w:t>,</w:t>
      </w:r>
      <w:r w:rsidRPr="00E210ED">
        <w:rPr>
          <w:rFonts w:ascii="Dax-Regular" w:hAnsi="Dax-Regular"/>
        </w:rPr>
        <w:t xml:space="preserve"> selon le tableau inclus</w:t>
      </w:r>
      <w:r w:rsidR="00A06FE2" w:rsidRPr="00E210ED">
        <w:rPr>
          <w:rFonts w:ascii="Dax-Regular" w:hAnsi="Dax-Regular"/>
        </w:rPr>
        <w:t>.</w:t>
      </w:r>
    </w:p>
    <w:p w14:paraId="198018FD" w14:textId="77777777" w:rsidR="0024136F" w:rsidRPr="00E210ED" w:rsidRDefault="0024136F" w:rsidP="008604C8">
      <w:pPr>
        <w:pStyle w:val="Paragraphedeliste"/>
        <w:jc w:val="both"/>
        <w:rPr>
          <w:rFonts w:ascii="Dax-Regular" w:hAnsi="Dax-Regular"/>
        </w:rPr>
      </w:pPr>
    </w:p>
    <w:p w14:paraId="624B7322" w14:textId="77777777" w:rsidR="0024136F" w:rsidRPr="00E210ED" w:rsidRDefault="0024136F" w:rsidP="008604C8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Ce tarif est établi TTC, le taux de TVA étant de 20 %.</w:t>
      </w:r>
    </w:p>
    <w:p w14:paraId="038CC0CD" w14:textId="77777777" w:rsidR="0024136F" w:rsidRPr="00E210ED" w:rsidRDefault="0024136F" w:rsidP="008604C8">
      <w:pPr>
        <w:pStyle w:val="Paragraphedeliste"/>
        <w:jc w:val="both"/>
        <w:rPr>
          <w:rFonts w:ascii="Dax-Regular" w:hAnsi="Dax-Regular"/>
        </w:rPr>
      </w:pPr>
    </w:p>
    <w:p w14:paraId="49CD2162" w14:textId="4B6D228D" w:rsidR="0024136F" w:rsidRPr="00E210ED" w:rsidRDefault="0024136F" w:rsidP="00F22E67">
      <w:pPr>
        <w:pStyle w:val="Paragraphedeliste"/>
        <w:numPr>
          <w:ilvl w:val="0"/>
          <w:numId w:val="24"/>
        </w:numPr>
        <w:shd w:val="clear" w:color="auto" w:fill="F7CAAC" w:themeFill="accent2" w:themeFillTint="66"/>
        <w:jc w:val="both"/>
        <w:rPr>
          <w:rFonts w:ascii="Dax-Regular" w:hAnsi="Dax-Regular"/>
          <w:bCs/>
        </w:rPr>
      </w:pPr>
      <w:r w:rsidRPr="00E210ED">
        <w:rPr>
          <w:rFonts w:ascii="Dax-Regular" w:hAnsi="Dax-Regular"/>
          <w:bCs/>
        </w:rPr>
        <w:t>Durée de stationnement </w:t>
      </w:r>
    </w:p>
    <w:p w14:paraId="5D868D2F" w14:textId="77777777" w:rsidR="00E243B1" w:rsidRPr="00E210ED" w:rsidRDefault="00E243B1" w:rsidP="00E243B1">
      <w:pPr>
        <w:pStyle w:val="Paragraphedeliste"/>
        <w:jc w:val="both"/>
        <w:rPr>
          <w:rFonts w:ascii="Dax-Regular" w:hAnsi="Dax-Regular"/>
        </w:rPr>
      </w:pPr>
    </w:p>
    <w:p w14:paraId="0DE32316" w14:textId="77777777" w:rsidR="008169D8" w:rsidRPr="00E210ED" w:rsidRDefault="0024136F" w:rsidP="008604C8">
      <w:pPr>
        <w:pStyle w:val="Paragraphedeliste"/>
        <w:numPr>
          <w:ilvl w:val="0"/>
          <w:numId w:val="8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Les durées de stationnement sont calculées</w:t>
      </w:r>
      <w:r w:rsidR="008169D8" w:rsidRPr="00E210ED">
        <w:rPr>
          <w:rFonts w:ascii="Dax-Regular" w:hAnsi="Dax-Regular"/>
        </w:rPr>
        <w:t xml:space="preserve">, soit </w:t>
      </w:r>
    </w:p>
    <w:p w14:paraId="5DC5C2C1" w14:textId="77777777" w:rsidR="0024136F" w:rsidRPr="00E210ED" w:rsidRDefault="0024136F" w:rsidP="008604C8">
      <w:pPr>
        <w:pStyle w:val="Paragraphedeliste"/>
        <w:ind w:left="1068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  </w:t>
      </w:r>
    </w:p>
    <w:p w14:paraId="06CD560F" w14:textId="7B3DFC1E" w:rsidR="0024136F" w:rsidRPr="00E210ED" w:rsidRDefault="0024136F" w:rsidP="008604C8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Sur la </w:t>
      </w:r>
      <w:r w:rsidR="00786FBB" w:rsidRPr="00E210ED">
        <w:rPr>
          <w:rFonts w:ascii="Dax-Regular" w:hAnsi="Dax-Regular"/>
        </w:rPr>
        <w:t>base de</w:t>
      </w:r>
      <w:r w:rsidRPr="00E210ED">
        <w:rPr>
          <w:rFonts w:ascii="Dax-Regular" w:hAnsi="Dax-Regular"/>
        </w:rPr>
        <w:t xml:space="preserve"> </w:t>
      </w:r>
      <w:r w:rsidR="00786FBB" w:rsidRPr="00E210ED">
        <w:rPr>
          <w:rFonts w:ascii="Dax-Regular" w:hAnsi="Dax-Regular"/>
        </w:rPr>
        <w:t>nuit</w:t>
      </w:r>
      <w:r w:rsidRPr="00E210ED">
        <w:rPr>
          <w:rFonts w:ascii="Dax-Regular" w:hAnsi="Dax-Regular"/>
        </w:rPr>
        <w:t xml:space="preserve"> de stationnement de passage ou d’escale, décompté</w:t>
      </w:r>
      <w:r w:rsidR="00A06FE2" w:rsidRPr="00E210ED">
        <w:rPr>
          <w:rFonts w:ascii="Dax-Regular" w:hAnsi="Dax-Regular"/>
        </w:rPr>
        <w:t>e</w:t>
      </w:r>
      <w:r w:rsidRPr="00E210ED">
        <w:rPr>
          <w:rFonts w:ascii="Dax-Regular" w:hAnsi="Dax-Regular"/>
        </w:rPr>
        <w:t xml:space="preserve"> de midi à midi,</w:t>
      </w:r>
    </w:p>
    <w:p w14:paraId="0E6B3F2A" w14:textId="77777777" w:rsidR="0024136F" w:rsidRPr="00E210ED" w:rsidRDefault="0024136F" w:rsidP="008604C8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Sur la base du mois,</w:t>
      </w:r>
      <w:r w:rsidR="00AB042B" w:rsidRPr="00E210ED">
        <w:rPr>
          <w:rFonts w:ascii="Dax-Regular" w:hAnsi="Dax-Regular"/>
        </w:rPr>
        <w:t xml:space="preserve"> </w:t>
      </w:r>
      <w:r w:rsidR="00E97A29" w:rsidRPr="00E210ED">
        <w:rPr>
          <w:rFonts w:ascii="Dax-Regular" w:hAnsi="Dax-Regular"/>
        </w:rPr>
        <w:t>mois civil du 1</w:t>
      </w:r>
      <w:r w:rsidR="00E97A29" w:rsidRPr="00E210ED">
        <w:rPr>
          <w:rFonts w:ascii="Dax-Regular" w:hAnsi="Dax-Regular"/>
          <w:vertAlign w:val="superscript"/>
        </w:rPr>
        <w:t>er</w:t>
      </w:r>
      <w:r w:rsidR="00E97A29" w:rsidRPr="00E210ED">
        <w:rPr>
          <w:rFonts w:ascii="Dax-Regular" w:hAnsi="Dax-Regular"/>
        </w:rPr>
        <w:t xml:space="preserve"> jour du mois au 1</w:t>
      </w:r>
      <w:r w:rsidR="00E97A29" w:rsidRPr="00E210ED">
        <w:rPr>
          <w:rFonts w:ascii="Dax-Regular" w:hAnsi="Dax-Regular"/>
          <w:vertAlign w:val="superscript"/>
        </w:rPr>
        <w:t>er</w:t>
      </w:r>
      <w:r w:rsidR="00E97A29" w:rsidRPr="00E210ED">
        <w:rPr>
          <w:rFonts w:ascii="Dax-Regular" w:hAnsi="Dax-Regular"/>
        </w:rPr>
        <w:t xml:space="preserve"> jour du mois suivant 12h, ou mois glissant</w:t>
      </w:r>
      <w:r w:rsidR="00AB042B" w:rsidRPr="00E210ED">
        <w:rPr>
          <w:rFonts w:ascii="Dax-Regular" w:hAnsi="Dax-Regular"/>
        </w:rPr>
        <w:t xml:space="preserve"> </w:t>
      </w:r>
      <w:r w:rsidR="00E97A29" w:rsidRPr="00E210ED">
        <w:rPr>
          <w:rFonts w:ascii="Dax-Regular" w:hAnsi="Dax-Regular"/>
        </w:rPr>
        <w:t>de date à date</w:t>
      </w:r>
      <w:r w:rsidR="00AB042B" w:rsidRPr="00E210ED">
        <w:rPr>
          <w:rFonts w:ascii="Dax-Regular" w:hAnsi="Dax-Regular"/>
        </w:rPr>
        <w:t>,</w:t>
      </w:r>
      <w:r w:rsidR="00E97A29" w:rsidRPr="00E210ED">
        <w:rPr>
          <w:rFonts w:ascii="Dax-Regular" w:hAnsi="Dax-Regular"/>
        </w:rPr>
        <w:t xml:space="preserve"> dans la même période tarifaire,</w:t>
      </w:r>
    </w:p>
    <w:p w14:paraId="4362ED33" w14:textId="24154F6C" w:rsidR="0024136F" w:rsidRPr="00E210ED" w:rsidRDefault="0024136F" w:rsidP="008604C8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Sur la base </w:t>
      </w:r>
      <w:r w:rsidR="007C07CB" w:rsidRPr="00E210ED">
        <w:rPr>
          <w:rFonts w:ascii="Dax-Regular" w:hAnsi="Dax-Regular"/>
        </w:rPr>
        <w:t>d’une année, décomptée du 1</w:t>
      </w:r>
      <w:r w:rsidR="007C07CB" w:rsidRPr="00E210ED">
        <w:rPr>
          <w:rFonts w:ascii="Dax-Regular" w:hAnsi="Dax-Regular"/>
          <w:vertAlign w:val="superscript"/>
        </w:rPr>
        <w:t>er</w:t>
      </w:r>
      <w:r w:rsidR="007C07CB" w:rsidRPr="00E210ED">
        <w:rPr>
          <w:rFonts w:ascii="Dax-Regular" w:hAnsi="Dax-Regular"/>
        </w:rPr>
        <w:t xml:space="preserve"> </w:t>
      </w:r>
      <w:r w:rsidR="00F14641" w:rsidRPr="00E210ED">
        <w:rPr>
          <w:rFonts w:ascii="Dax-Regular" w:hAnsi="Dax-Regular"/>
        </w:rPr>
        <w:t>janvier</w:t>
      </w:r>
      <w:r w:rsidR="007C07CB" w:rsidRPr="00E210ED">
        <w:rPr>
          <w:rFonts w:ascii="Dax-Regular" w:hAnsi="Dax-Regular"/>
        </w:rPr>
        <w:t xml:space="preserve"> au </w:t>
      </w:r>
      <w:r w:rsidR="00E97A29" w:rsidRPr="00E210ED">
        <w:rPr>
          <w:rFonts w:ascii="Dax-Regular" w:hAnsi="Dax-Regular"/>
        </w:rPr>
        <w:t>1</w:t>
      </w:r>
      <w:r w:rsidR="00E97A29" w:rsidRPr="00E210ED">
        <w:rPr>
          <w:rFonts w:ascii="Dax-Regular" w:hAnsi="Dax-Regular"/>
          <w:vertAlign w:val="superscript"/>
        </w:rPr>
        <w:t>er</w:t>
      </w:r>
      <w:r w:rsidR="00E97A29" w:rsidRPr="00E210ED">
        <w:rPr>
          <w:rFonts w:ascii="Dax-Regular" w:hAnsi="Dax-Regular"/>
        </w:rPr>
        <w:t xml:space="preserve"> janvier de l’année suivante.</w:t>
      </w:r>
    </w:p>
    <w:p w14:paraId="3E78DEC1" w14:textId="77777777" w:rsidR="00E243B1" w:rsidRPr="00E210ED" w:rsidRDefault="00E243B1" w:rsidP="00AB042B">
      <w:pPr>
        <w:pStyle w:val="Paragraphedeliste"/>
        <w:jc w:val="both"/>
        <w:rPr>
          <w:rFonts w:ascii="Dax-Regular" w:hAnsi="Dax-Regular"/>
        </w:rPr>
      </w:pPr>
    </w:p>
    <w:p w14:paraId="3E06734C" w14:textId="77777777" w:rsidR="007773E0" w:rsidRDefault="007773E0" w:rsidP="008604C8">
      <w:pPr>
        <w:pStyle w:val="Paragraphedeliste"/>
        <w:numPr>
          <w:ilvl w:val="0"/>
          <w:numId w:val="8"/>
        </w:numPr>
        <w:jc w:val="both"/>
        <w:rPr>
          <w:rFonts w:ascii="Dax-Regular" w:hAnsi="Dax-Regular"/>
          <w:sz w:val="24"/>
          <w:szCs w:val="24"/>
        </w:rPr>
      </w:pPr>
      <w:r w:rsidRPr="00E210ED">
        <w:rPr>
          <w:rFonts w:ascii="Dax-Regular" w:hAnsi="Dax-Regular"/>
        </w:rPr>
        <w:t xml:space="preserve">Une franchise de </w:t>
      </w:r>
      <w:r w:rsidR="00E97A29" w:rsidRPr="00E210ED">
        <w:rPr>
          <w:rFonts w:ascii="Dax-Regular" w:hAnsi="Dax-Regular"/>
          <w:b/>
        </w:rPr>
        <w:t>quatre</w:t>
      </w:r>
      <w:r w:rsidRPr="00E210ED">
        <w:rPr>
          <w:rFonts w:ascii="Dax-Regular" w:hAnsi="Dax-Regular"/>
          <w:b/>
        </w:rPr>
        <w:t xml:space="preserve"> heures</w:t>
      </w:r>
      <w:r w:rsidRPr="00E210ED">
        <w:rPr>
          <w:rFonts w:ascii="Dax-Regular" w:hAnsi="Dax-Regular"/>
        </w:rPr>
        <w:t xml:space="preserve">, hors consommation d’eau et d’électricité, peut </w:t>
      </w:r>
      <w:r w:rsidR="008604C8" w:rsidRPr="00E210ED">
        <w:rPr>
          <w:rFonts w:ascii="Dax-Regular" w:hAnsi="Dax-Regular"/>
        </w:rPr>
        <w:t>être</w:t>
      </w:r>
      <w:r w:rsidRPr="00E210ED">
        <w:rPr>
          <w:rFonts w:ascii="Dax-Regular" w:hAnsi="Dax-Regular"/>
        </w:rPr>
        <w:t xml:space="preserve"> consentie par les agents portuaires, </w:t>
      </w:r>
      <w:r w:rsidR="00E97A29" w:rsidRPr="00E210ED">
        <w:rPr>
          <w:rFonts w:ascii="Dax-Regular" w:hAnsi="Dax-Regular"/>
          <w:b/>
        </w:rPr>
        <w:t>jusqu’à 17 h</w:t>
      </w:r>
      <w:r w:rsidR="00AB042B" w:rsidRPr="00E210ED">
        <w:rPr>
          <w:rFonts w:ascii="Dax-Regular" w:hAnsi="Dax-Regular"/>
        </w:rPr>
        <w:t>, à la double condition que le pilote du navire se soit signalé au bureau</w:t>
      </w:r>
      <w:r w:rsidR="00E97A29" w:rsidRPr="00E210ED">
        <w:rPr>
          <w:rFonts w:ascii="Dax-Regular" w:hAnsi="Dax-Regular"/>
        </w:rPr>
        <w:t xml:space="preserve"> du port</w:t>
      </w:r>
      <w:r w:rsidR="00AB042B" w:rsidRPr="00E210ED">
        <w:rPr>
          <w:rFonts w:ascii="Dax-Regular" w:hAnsi="Dax-Regular"/>
        </w:rPr>
        <w:t xml:space="preserve"> </w:t>
      </w:r>
      <w:r w:rsidR="00AB042B" w:rsidRPr="00E210ED">
        <w:rPr>
          <w:rFonts w:ascii="Dax-Regular" w:hAnsi="Dax-Regular"/>
          <w:b/>
          <w:u w:val="single"/>
        </w:rPr>
        <w:t>et</w:t>
      </w:r>
      <w:r w:rsidR="00AB042B" w:rsidRPr="00E210ED">
        <w:rPr>
          <w:rFonts w:ascii="Dax-Regular" w:hAnsi="Dax-Regular"/>
        </w:rPr>
        <w:t xml:space="preserve"> qu’un poste soit disponible</w:t>
      </w:r>
      <w:r w:rsidR="00AB042B">
        <w:rPr>
          <w:rFonts w:ascii="Dax-Regular" w:hAnsi="Dax-Regular"/>
          <w:sz w:val="24"/>
          <w:szCs w:val="24"/>
        </w:rPr>
        <w:t>.</w:t>
      </w:r>
    </w:p>
    <w:p w14:paraId="1881F4A4" w14:textId="77777777" w:rsidR="00E97A29" w:rsidRDefault="00E97A29" w:rsidP="00E97A29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7A86DE8C" w14:textId="77777777" w:rsidR="008604C8" w:rsidRPr="008604C8" w:rsidRDefault="008604C8" w:rsidP="0086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>ARTICLE 2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CONDITIONS </w:t>
      </w:r>
      <w:r>
        <w:rPr>
          <w:rFonts w:ascii="Dax-Regular" w:hAnsi="Dax-Regular"/>
          <w:sz w:val="28"/>
          <w:szCs w:val="28"/>
          <w:u w:val="single"/>
        </w:rPr>
        <w:t>PARTICULIERES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2314A615" w14:textId="77777777" w:rsidR="008604C8" w:rsidRPr="00E210ED" w:rsidRDefault="008604C8" w:rsidP="008604C8">
      <w:pPr>
        <w:jc w:val="both"/>
        <w:rPr>
          <w:rFonts w:ascii="Dax-Regular" w:hAnsi="Dax-Regular"/>
        </w:rPr>
      </w:pPr>
    </w:p>
    <w:p w14:paraId="6A344BF8" w14:textId="77777777" w:rsidR="008604C8" w:rsidRPr="00E210ED" w:rsidRDefault="008604C8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Application de la redevance </w:t>
      </w:r>
    </w:p>
    <w:p w14:paraId="735348D9" w14:textId="2281634A" w:rsidR="008604C8" w:rsidRPr="00E210ED" w:rsidRDefault="008604C8" w:rsidP="008604C8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La redevance n’est pas applicable aux navires de l’état ou affectés à un service public de sauvetage</w:t>
      </w:r>
      <w:r w:rsidR="002E184D" w:rsidRPr="00E210ED">
        <w:rPr>
          <w:rFonts w:ascii="Dax-Regular" w:hAnsi="Dax-Regular"/>
        </w:rPr>
        <w:t xml:space="preserve">. </w:t>
      </w:r>
      <w:r w:rsidR="002E184D" w:rsidRPr="00E210ED">
        <w:rPr>
          <w:rFonts w:ascii="Dax-Regular" w:hAnsi="Dax-Regular"/>
          <w:i/>
        </w:rPr>
        <w:t xml:space="preserve">(En </w:t>
      </w:r>
      <w:r w:rsidR="00A06FE2" w:rsidRPr="00E210ED">
        <w:rPr>
          <w:rFonts w:ascii="Dax-Regular" w:hAnsi="Dax-Regular"/>
          <w:i/>
        </w:rPr>
        <w:t>r</w:t>
      </w:r>
      <w:r w:rsidR="002E184D" w:rsidRPr="00E210ED">
        <w:rPr>
          <w:rFonts w:ascii="Dax-Regular" w:hAnsi="Dax-Regular"/>
          <w:i/>
        </w:rPr>
        <w:t>éférence à l’article 5321-22 du Code des transports)</w:t>
      </w:r>
    </w:p>
    <w:p w14:paraId="7DAA3AF6" w14:textId="77777777" w:rsidR="00E243B1" w:rsidRPr="00E210ED" w:rsidRDefault="00E243B1" w:rsidP="00012208">
      <w:pPr>
        <w:pStyle w:val="Paragraphedeliste"/>
        <w:jc w:val="both"/>
        <w:rPr>
          <w:rFonts w:ascii="Dax-Regular" w:hAnsi="Dax-Regular"/>
        </w:rPr>
      </w:pPr>
    </w:p>
    <w:p w14:paraId="06A4E229" w14:textId="7AAFBB4F" w:rsidR="001C1A0C" w:rsidRPr="00E210ED" w:rsidRDefault="007D5463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Définition de la longueur </w:t>
      </w:r>
      <w:r w:rsidR="00A06FE2" w:rsidRPr="00E210ED">
        <w:rPr>
          <w:rFonts w:ascii="Dax-Regular" w:hAnsi="Dax-Regular"/>
        </w:rPr>
        <w:t>h</w:t>
      </w:r>
      <w:r w:rsidRPr="00E210ED">
        <w:rPr>
          <w:rFonts w:ascii="Dax-Regular" w:hAnsi="Dax-Regular"/>
        </w:rPr>
        <w:t>ors-tout :</w:t>
      </w:r>
    </w:p>
    <w:p w14:paraId="7E84FCDB" w14:textId="05538796" w:rsidR="007D5463" w:rsidRPr="00E210ED" w:rsidRDefault="007D5463" w:rsidP="007D5463">
      <w:pPr>
        <w:ind w:left="709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Les tarifs s’appliquent sur la </w:t>
      </w:r>
      <w:r w:rsidRPr="00E210ED">
        <w:rPr>
          <w:rFonts w:ascii="Dax-Regular" w:hAnsi="Dax-Regular"/>
          <w:b/>
        </w:rPr>
        <w:t>longueur hors-tout du navire</w:t>
      </w:r>
      <w:r w:rsidR="00761974" w:rsidRPr="00E210ED">
        <w:rPr>
          <w:rFonts w:ascii="Dax-Regular" w:hAnsi="Dax-Regular"/>
        </w:rPr>
        <w:t xml:space="preserve">, selon la norme ISO 8666, </w:t>
      </w:r>
      <w:r w:rsidRPr="00E210ED">
        <w:rPr>
          <w:rFonts w:ascii="Dax-Regular" w:hAnsi="Dax-Regular"/>
        </w:rPr>
        <w:t xml:space="preserve">à savoir : La plus grande longueur d’encombrement du bateau toute œuvre incluse (balcon avant, tableau arrière, davier d’étrave, plage arrière, bout-dehors, embase, etc…) </w:t>
      </w:r>
    </w:p>
    <w:p w14:paraId="0DE68F77" w14:textId="77777777" w:rsidR="006B4958" w:rsidRDefault="006B4958">
      <w:pPr>
        <w:rPr>
          <w:rFonts w:ascii="Dax-Regular" w:hAnsi="Dax-Regular"/>
          <w:b/>
          <w:bCs/>
          <w:sz w:val="24"/>
          <w:szCs w:val="24"/>
          <w:u w:val="single"/>
        </w:rPr>
      </w:pPr>
      <w:r>
        <w:rPr>
          <w:rFonts w:ascii="Dax-Regular" w:hAnsi="Dax-Regular"/>
          <w:b/>
          <w:bCs/>
          <w:sz w:val="24"/>
          <w:szCs w:val="24"/>
          <w:u w:val="single"/>
        </w:rPr>
        <w:br w:type="page"/>
      </w:r>
    </w:p>
    <w:p w14:paraId="4EE56614" w14:textId="62631341" w:rsidR="007D5463" w:rsidRDefault="00761974" w:rsidP="007D5463">
      <w:pPr>
        <w:ind w:left="709"/>
        <w:jc w:val="both"/>
        <w:rPr>
          <w:rFonts w:ascii="Dax-Regular" w:hAnsi="Dax-Regular"/>
          <w:sz w:val="24"/>
          <w:szCs w:val="24"/>
        </w:rPr>
      </w:pPr>
      <w:r w:rsidRPr="007132F7">
        <w:rPr>
          <w:rFonts w:ascii="Dax-Regular" w:hAnsi="Dax-Regular"/>
          <w:b/>
          <w:bCs/>
          <w:sz w:val="24"/>
          <w:szCs w:val="24"/>
          <w:u w:val="single"/>
        </w:rPr>
        <w:lastRenderedPageBreak/>
        <w:t>Exemples ci-après</w:t>
      </w:r>
      <w:r>
        <w:rPr>
          <w:rFonts w:ascii="Dax-Regular" w:hAnsi="Dax-Regular"/>
          <w:sz w:val="24"/>
          <w:szCs w:val="24"/>
        </w:rPr>
        <w:t> :</w:t>
      </w:r>
    </w:p>
    <w:p w14:paraId="57399177" w14:textId="1302EF91" w:rsidR="00686D24" w:rsidRPr="005B12A6" w:rsidRDefault="007D5463" w:rsidP="005B12A6">
      <w:pPr>
        <w:ind w:left="709"/>
        <w:jc w:val="center"/>
        <w:rPr>
          <w:rFonts w:ascii="Dax-Regular" w:hAnsi="Dax-Regular"/>
          <w:sz w:val="24"/>
          <w:szCs w:val="24"/>
        </w:rPr>
      </w:pPr>
      <w:r w:rsidRPr="007D5463">
        <w:rPr>
          <w:rFonts w:ascii="Dax-Regular" w:hAnsi="Dax-Regular"/>
          <w:noProof/>
          <w:sz w:val="24"/>
          <w:szCs w:val="24"/>
          <w:lang w:eastAsia="fr-FR"/>
        </w:rPr>
        <w:drawing>
          <wp:inline distT="0" distB="0" distL="0" distR="0" wp14:anchorId="2FB0399E" wp14:editId="1FB76737">
            <wp:extent cx="3408680" cy="3295158"/>
            <wp:effectExtent l="0" t="0" r="127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72" cy="331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C719" w14:textId="77777777" w:rsidR="00A06FE2" w:rsidRPr="00E210ED" w:rsidRDefault="00A06FE2" w:rsidP="00012208">
      <w:pPr>
        <w:pStyle w:val="Paragraphedeliste"/>
        <w:jc w:val="both"/>
        <w:rPr>
          <w:rFonts w:ascii="Dax-Regular" w:hAnsi="Dax-Regular"/>
        </w:rPr>
      </w:pPr>
    </w:p>
    <w:p w14:paraId="0CCC3DA3" w14:textId="5F9338EE" w:rsidR="008604C8" w:rsidRPr="00E210ED" w:rsidRDefault="008604C8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Postes </w:t>
      </w:r>
      <w:r w:rsidR="00A06FE2" w:rsidRPr="00E210ED">
        <w:rPr>
          <w:rFonts w:ascii="Dax-Regular" w:hAnsi="Dax-Regular"/>
        </w:rPr>
        <w:t>pour titulaire de droit d’usage</w:t>
      </w:r>
    </w:p>
    <w:p w14:paraId="548F088A" w14:textId="06E07817" w:rsidR="00496880" w:rsidRPr="00E210ED" w:rsidRDefault="00496880" w:rsidP="00F22E67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Les recettes de redevance de stationnement et d’amarrage perçues par le concessionnaire sur les postes </w:t>
      </w:r>
      <w:r w:rsidR="00A06FE2" w:rsidRPr="00E210ED">
        <w:rPr>
          <w:rFonts w:ascii="Dax-Regular" w:hAnsi="Dax-Regular"/>
        </w:rPr>
        <w:t xml:space="preserve">des titulaires de droit d’usage </w:t>
      </w:r>
      <w:r w:rsidRPr="00E210ED">
        <w:rPr>
          <w:rFonts w:ascii="Dax-Regular" w:hAnsi="Dax-Regular"/>
        </w:rPr>
        <w:t xml:space="preserve">sont reversées aux </w:t>
      </w:r>
      <w:r w:rsidR="00A06FE2" w:rsidRPr="00E210ED">
        <w:rPr>
          <w:rFonts w:ascii="Dax-Regular" w:hAnsi="Dax-Regular"/>
        </w:rPr>
        <w:t>titulaires</w:t>
      </w:r>
      <w:r w:rsidRPr="00E210ED">
        <w:rPr>
          <w:rFonts w:ascii="Dax-Regular" w:hAnsi="Dax-Regular"/>
        </w:rPr>
        <w:t xml:space="preserve"> après déduction de 20 % de frais de gestion.</w:t>
      </w:r>
    </w:p>
    <w:p w14:paraId="756074D9" w14:textId="77777777" w:rsidR="00A06FE2" w:rsidRPr="00E210ED" w:rsidRDefault="00A06FE2" w:rsidP="00012208">
      <w:pPr>
        <w:pStyle w:val="Paragraphedeliste"/>
        <w:rPr>
          <w:rFonts w:ascii="Dax-Regular" w:hAnsi="Dax-Regular"/>
        </w:rPr>
      </w:pPr>
    </w:p>
    <w:p w14:paraId="23909B81" w14:textId="77777777" w:rsidR="008604C8" w:rsidRPr="00E210ED" w:rsidRDefault="008604C8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Redevance pour manifestations nautiques</w:t>
      </w:r>
    </w:p>
    <w:p w14:paraId="0F5AA2F0" w14:textId="2C996BE7" w:rsidR="00A56387" w:rsidRPr="00E210ED" w:rsidRDefault="00A56387" w:rsidP="00867B2A">
      <w:pPr>
        <w:ind w:left="709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Les manifestations nautiques d’un min</w:t>
      </w:r>
      <w:r w:rsidR="004B42F3" w:rsidRPr="00E210ED">
        <w:rPr>
          <w:rFonts w:ascii="Dax-Regular" w:hAnsi="Dax-Regular"/>
        </w:rPr>
        <w:t>imum de 10 bateaux participants</w:t>
      </w:r>
      <w:r w:rsidRPr="00E210ED">
        <w:rPr>
          <w:rFonts w:ascii="Dax-Regular" w:hAnsi="Dax-Regular"/>
        </w:rPr>
        <w:t xml:space="preserve"> et dont l’organisateur officiel agréé aura effectué une demande écrite préa</w:t>
      </w:r>
      <w:r w:rsidR="004B42F3" w:rsidRPr="00E210ED">
        <w:rPr>
          <w:rFonts w:ascii="Dax-Regular" w:hAnsi="Dax-Regular"/>
        </w:rPr>
        <w:t>lable (avec préavis de 30 jours</w:t>
      </w:r>
      <w:r w:rsidRPr="00E210ED">
        <w:rPr>
          <w:rFonts w:ascii="Dax-Regular" w:hAnsi="Dax-Regular"/>
        </w:rPr>
        <w:t xml:space="preserve"> minimum</w:t>
      </w:r>
      <w:r w:rsidR="004B42F3" w:rsidRPr="00E210ED">
        <w:rPr>
          <w:rFonts w:ascii="Dax-Regular" w:hAnsi="Dax-Regular"/>
        </w:rPr>
        <w:t>)</w:t>
      </w:r>
      <w:r w:rsidRPr="00E210ED">
        <w:rPr>
          <w:rFonts w:ascii="Dax-Regular" w:hAnsi="Dax-Regular"/>
        </w:rPr>
        <w:t xml:space="preserve"> </w:t>
      </w:r>
      <w:r w:rsidR="004B42F3" w:rsidRPr="00E210ED">
        <w:rPr>
          <w:rFonts w:ascii="Dax-Regular" w:hAnsi="Dax-Regular"/>
        </w:rPr>
        <w:t>à l’autorité portuaire</w:t>
      </w:r>
      <w:r w:rsidR="00FA32DC" w:rsidRPr="00E210ED">
        <w:rPr>
          <w:rFonts w:ascii="Dax-Regular" w:hAnsi="Dax-Regular"/>
        </w:rPr>
        <w:t xml:space="preserve">, pourront bénéficier d’un abattement </w:t>
      </w:r>
      <w:r w:rsidR="00F85248" w:rsidRPr="00E210ED">
        <w:rPr>
          <w:rFonts w:ascii="Dax-Regular" w:hAnsi="Dax-Regular"/>
        </w:rPr>
        <w:t>de la redevance, de :</w:t>
      </w:r>
    </w:p>
    <w:p w14:paraId="0CCD28AC" w14:textId="15C7F993" w:rsidR="00FA32DC" w:rsidRPr="00E210ED" w:rsidRDefault="00CA4ACC" w:rsidP="001F7DFA">
      <w:pPr>
        <w:ind w:left="1410" w:right="992"/>
        <w:jc w:val="both"/>
        <w:rPr>
          <w:rFonts w:ascii="Dax-Regular" w:hAnsi="Dax-Regular"/>
        </w:rPr>
      </w:pPr>
      <w:bookmarkStart w:id="0" w:name="_Hlk146615721"/>
      <w:r w:rsidRPr="00E210ED">
        <w:rPr>
          <w:rFonts w:ascii="Dax-Regular" w:hAnsi="Dax-Regular"/>
          <w:b/>
          <w:bCs/>
        </w:rPr>
        <w:t>40%</w:t>
      </w:r>
      <w:r w:rsidR="00D25D77" w:rsidRPr="00E210ED">
        <w:rPr>
          <w:rFonts w:ascii="Dax-Regular" w:hAnsi="Dax-Regular"/>
        </w:rPr>
        <w:t xml:space="preserve"> (du lundi au vendredi, </w:t>
      </w:r>
      <w:r w:rsidR="00FA32DC" w:rsidRPr="00E210ED">
        <w:rPr>
          <w:rFonts w:ascii="Dax-Regular" w:hAnsi="Dax-Regular"/>
        </w:rPr>
        <w:t>les week-ends, ponts et jours férié</w:t>
      </w:r>
      <w:r w:rsidR="00D25D77" w:rsidRPr="00E210ED">
        <w:rPr>
          <w:rFonts w:ascii="Dax-Regular" w:hAnsi="Dax-Regular"/>
        </w:rPr>
        <w:t xml:space="preserve">s, sauf </w:t>
      </w:r>
      <w:proofErr w:type="gramStart"/>
      <w:r w:rsidR="00D25D77" w:rsidRPr="00E210ED">
        <w:rPr>
          <w:rFonts w:ascii="Dax-Regular" w:hAnsi="Dax-Regular"/>
          <w:b/>
          <w:bCs/>
          <w:i/>
          <w:iCs/>
        </w:rPr>
        <w:t>Juillet</w:t>
      </w:r>
      <w:proofErr w:type="gramEnd"/>
      <w:r w:rsidR="00D25D77" w:rsidRPr="00E210ED">
        <w:rPr>
          <w:rFonts w:ascii="Dax-Regular" w:hAnsi="Dax-Regular"/>
          <w:b/>
          <w:bCs/>
          <w:i/>
          <w:iCs/>
        </w:rPr>
        <w:t xml:space="preserve"> &amp; Aout</w:t>
      </w:r>
      <w:r w:rsidR="00D25D77" w:rsidRPr="00E210ED">
        <w:rPr>
          <w:rFonts w:ascii="Dax-Regular" w:hAnsi="Dax-Regular"/>
        </w:rPr>
        <w:t>)</w:t>
      </w:r>
    </w:p>
    <w:bookmarkEnd w:id="0"/>
    <w:p w14:paraId="359E051C" w14:textId="058723C1" w:rsidR="00FA32DC" w:rsidRPr="00E210ED" w:rsidRDefault="00FA32DC" w:rsidP="00867B2A">
      <w:pPr>
        <w:ind w:left="708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Ces conditions tarifaires ne pourront pas s’appliquer en haute saison, à l’exception des associations nautiques locales qui animent le plan d’eau.</w:t>
      </w:r>
    </w:p>
    <w:p w14:paraId="0A36C69C" w14:textId="14CD351F" w:rsidR="005062CC" w:rsidRPr="00E210ED" w:rsidRDefault="005062CC" w:rsidP="00867B2A">
      <w:pPr>
        <w:ind w:left="708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L’organisateur fournira la liste des propriétaires et des caractéristiques des bateaux participants et accompagnateur</w:t>
      </w:r>
      <w:r w:rsidR="00F85248" w:rsidRPr="00E210ED">
        <w:rPr>
          <w:rFonts w:ascii="Dax-Regular" w:hAnsi="Dax-Regular"/>
        </w:rPr>
        <w:t>s</w:t>
      </w:r>
      <w:r w:rsidRPr="00E210ED">
        <w:rPr>
          <w:rFonts w:ascii="Dax-Regular" w:hAnsi="Dax-Regular"/>
        </w:rPr>
        <w:t>.</w:t>
      </w:r>
    </w:p>
    <w:p w14:paraId="726E146D" w14:textId="77777777" w:rsidR="005062CC" w:rsidRPr="00E210ED" w:rsidRDefault="005062CC" w:rsidP="00867B2A">
      <w:pPr>
        <w:ind w:left="708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La réservation des postes ne sera prise en compte que si :</w:t>
      </w:r>
    </w:p>
    <w:p w14:paraId="04129DED" w14:textId="0DA4591E" w:rsidR="005062CC" w:rsidRPr="00E210ED" w:rsidRDefault="005062CC" w:rsidP="00F85248">
      <w:pPr>
        <w:pStyle w:val="Paragraphedeliste"/>
        <w:ind w:left="127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L’organisateur retourne a</w:t>
      </w:r>
      <w:r w:rsidR="00A0265B" w:rsidRPr="00E210ED">
        <w:rPr>
          <w:rFonts w:ascii="Dax-Regular" w:hAnsi="Dax-Regular"/>
        </w:rPr>
        <w:t>u port</w:t>
      </w:r>
      <w:r w:rsidRPr="00E210ED">
        <w:rPr>
          <w:rFonts w:ascii="Dax-Regular" w:hAnsi="Dax-Regular"/>
        </w:rPr>
        <w:t>, minimum une semaine avant le début de la régate, le formulaire « Demande de stationnement manifestations nautiques » dûment complété, signé, accompagné de la liste mise à jour des bateaux</w:t>
      </w:r>
      <w:r w:rsidR="00F85248" w:rsidRPr="00E210ED">
        <w:rPr>
          <w:rFonts w:ascii="Dax-Regular" w:hAnsi="Dax-Regular"/>
        </w:rPr>
        <w:t>.</w:t>
      </w:r>
    </w:p>
    <w:p w14:paraId="5941382E" w14:textId="6D08B680" w:rsidR="005062CC" w:rsidRPr="00E210ED" w:rsidRDefault="005062CC" w:rsidP="00F85248">
      <w:pPr>
        <w:pStyle w:val="Paragraphedeliste"/>
        <w:ind w:left="127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Cette liste comportant les dimensions </w:t>
      </w:r>
      <w:r w:rsidR="006F4276" w:rsidRPr="00E210ED">
        <w:rPr>
          <w:rFonts w:ascii="Dax-Regular" w:hAnsi="Dax-Regular"/>
        </w:rPr>
        <w:t>hors-tout</w:t>
      </w:r>
      <w:r w:rsidR="00CD478F" w:rsidRPr="00E210ED">
        <w:rPr>
          <w:rFonts w:ascii="Dax-Regular" w:hAnsi="Dax-Regular"/>
        </w:rPr>
        <w:t xml:space="preserve"> </w:t>
      </w:r>
      <w:r w:rsidRPr="00E210ED">
        <w:rPr>
          <w:rFonts w:ascii="Dax-Regular" w:hAnsi="Dax-Regular"/>
        </w:rPr>
        <w:t xml:space="preserve">des bateaux (longueur, largeur) permettra l’affectation des postes d’amarrage et l’émission de </w:t>
      </w:r>
      <w:r w:rsidR="00412330" w:rsidRPr="00E210ED">
        <w:rPr>
          <w:rFonts w:ascii="Dax-Regular" w:hAnsi="Dax-Regular"/>
        </w:rPr>
        <w:t>la facture.</w:t>
      </w:r>
    </w:p>
    <w:p w14:paraId="3615278F" w14:textId="77777777" w:rsidR="001C1A0C" w:rsidRPr="00E210ED" w:rsidRDefault="005062CC" w:rsidP="00867B2A">
      <w:pPr>
        <w:ind w:left="709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Les bateaux n’ayant pas réservé ne pourront être accueillis que dans la limite des places disponibles. Le montant des frais de réservation sera conservé pour toute réservation non annulée 48 H avant la date prévue d’arrivée des bateaux.</w:t>
      </w:r>
    </w:p>
    <w:p w14:paraId="745D6B92" w14:textId="77777777" w:rsidR="00012208" w:rsidRPr="00E210ED" w:rsidRDefault="00012208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lastRenderedPageBreak/>
        <w:t>Forfait mensuel</w:t>
      </w:r>
      <w:r w:rsidR="00F14C70" w:rsidRPr="00E210ED">
        <w:rPr>
          <w:rFonts w:ascii="Dax-Regular" w:hAnsi="Dax-Regular"/>
        </w:rPr>
        <w:t xml:space="preserve"> &amp; passager</w:t>
      </w:r>
    </w:p>
    <w:p w14:paraId="4CE1EEE5" w14:textId="77777777" w:rsidR="00A436BF" w:rsidRPr="00E210ED" w:rsidRDefault="00A436BF" w:rsidP="00A436BF">
      <w:pPr>
        <w:ind w:left="709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Les redevances de stationnement et amarrage devront être réglées à l’arrivée du bateau concerné, et resteront acquises au port en cas d’appareillage avant le terme de la réservation.</w:t>
      </w:r>
    </w:p>
    <w:p w14:paraId="1296932C" w14:textId="6E2A868C" w:rsidR="00A436BF" w:rsidRPr="00E210ED" w:rsidRDefault="00A436BF" w:rsidP="00A436BF">
      <w:pPr>
        <w:ind w:left="709"/>
        <w:jc w:val="both"/>
        <w:rPr>
          <w:rFonts w:ascii="Dax-Regular" w:hAnsi="Dax-Regular"/>
        </w:rPr>
      </w:pPr>
      <w:bookmarkStart w:id="1" w:name="_Hlk118809554"/>
      <w:r w:rsidRPr="00E210ED">
        <w:rPr>
          <w:rFonts w:ascii="Dax-Regular" w:hAnsi="Dax-Regular"/>
        </w:rPr>
        <w:t>Les prix s’entendent toutes charges comprises</w:t>
      </w:r>
      <w:r w:rsidR="0077741A" w:rsidRPr="00E210ED">
        <w:rPr>
          <w:rFonts w:ascii="Dax-Regular" w:hAnsi="Dax-Regular"/>
        </w:rPr>
        <w:t xml:space="preserve"> (fourniture de fluide).</w:t>
      </w:r>
    </w:p>
    <w:bookmarkEnd w:id="1"/>
    <w:p w14:paraId="3F115E62" w14:textId="0D6C0EF9" w:rsidR="00496880" w:rsidRPr="00E210ED" w:rsidRDefault="005F3026" w:rsidP="005F3026">
      <w:pPr>
        <w:pStyle w:val="Paragraphedeliste"/>
        <w:numPr>
          <w:ilvl w:val="0"/>
          <w:numId w:val="11"/>
        </w:numPr>
        <w:jc w:val="both"/>
        <w:rPr>
          <w:rFonts w:ascii="Dax-Regular" w:hAnsi="Dax-Regular"/>
          <w:u w:val="single"/>
        </w:rPr>
      </w:pPr>
      <w:r w:rsidRPr="00E210ED">
        <w:rPr>
          <w:rFonts w:ascii="Dax-Regular" w:hAnsi="Dax-Regular"/>
          <w:u w:val="single"/>
        </w:rPr>
        <w:t>Tarif basse saison :</w:t>
      </w:r>
      <w:r w:rsidR="00867B2A" w:rsidRPr="00E210ED">
        <w:rPr>
          <w:rFonts w:ascii="Dax-Regular" w:hAnsi="Dax-Regular"/>
          <w:u w:val="single"/>
        </w:rPr>
        <w:t xml:space="preserve"> Période Bleue</w:t>
      </w:r>
      <w:r w:rsidRPr="00E210ED">
        <w:rPr>
          <w:rFonts w:ascii="Dax-Regular" w:hAnsi="Dax-Regular"/>
          <w:u w:val="single"/>
        </w:rPr>
        <w:t xml:space="preserve"> </w:t>
      </w:r>
      <w:r w:rsidR="00867B2A" w:rsidRPr="00E210ED">
        <w:rPr>
          <w:rFonts w:ascii="Dax-Regular" w:hAnsi="Dax-Regular"/>
          <w:i/>
          <w:u w:val="single"/>
        </w:rPr>
        <w:t>(</w:t>
      </w:r>
      <w:r w:rsidR="00A436BF" w:rsidRPr="00E210ED">
        <w:rPr>
          <w:rFonts w:ascii="Dax-Regular" w:hAnsi="Dax-Regular"/>
          <w:i/>
          <w:u w:val="single"/>
        </w:rPr>
        <w:t>1</w:t>
      </w:r>
      <w:r w:rsidR="00A436BF" w:rsidRPr="00E210ED">
        <w:rPr>
          <w:rFonts w:ascii="Dax-Regular" w:hAnsi="Dax-Regular"/>
          <w:i/>
          <w:u w:val="single"/>
          <w:vertAlign w:val="superscript"/>
        </w:rPr>
        <w:t>er</w:t>
      </w:r>
      <w:r w:rsidR="00A436BF" w:rsidRPr="00E210ED">
        <w:rPr>
          <w:rFonts w:ascii="Dax-Regular" w:hAnsi="Dax-Regular"/>
          <w:i/>
          <w:u w:val="single"/>
        </w:rPr>
        <w:t xml:space="preserve"> </w:t>
      </w:r>
      <w:r w:rsidR="002B6E08" w:rsidRPr="00E210ED">
        <w:rPr>
          <w:rFonts w:ascii="Dax-Regular" w:hAnsi="Dax-Regular"/>
          <w:i/>
          <w:u w:val="single"/>
        </w:rPr>
        <w:t>novembre</w:t>
      </w:r>
      <w:r w:rsidRPr="00E210ED">
        <w:rPr>
          <w:rFonts w:ascii="Dax-Regular" w:hAnsi="Dax-Regular"/>
          <w:i/>
          <w:u w:val="single"/>
        </w:rPr>
        <w:t xml:space="preserve"> au </w:t>
      </w:r>
      <w:r w:rsidR="00A436BF" w:rsidRPr="00E210ED">
        <w:rPr>
          <w:rFonts w:ascii="Dax-Regular" w:hAnsi="Dax-Regular"/>
          <w:i/>
          <w:u w:val="single"/>
        </w:rPr>
        <w:t>1</w:t>
      </w:r>
      <w:r w:rsidR="00A436BF" w:rsidRPr="00E210ED">
        <w:rPr>
          <w:rFonts w:ascii="Dax-Regular" w:hAnsi="Dax-Regular"/>
          <w:i/>
          <w:u w:val="single"/>
          <w:vertAlign w:val="superscript"/>
        </w:rPr>
        <w:t>er</w:t>
      </w:r>
      <w:r w:rsidR="00867B2A" w:rsidRPr="00E210ED">
        <w:rPr>
          <w:rFonts w:ascii="Dax-Regular" w:hAnsi="Dax-Regular"/>
          <w:i/>
          <w:u w:val="single"/>
        </w:rPr>
        <w:t xml:space="preserve"> </w:t>
      </w:r>
      <w:r w:rsidR="006F4276" w:rsidRPr="00E210ED">
        <w:rPr>
          <w:rFonts w:ascii="Dax-Regular" w:hAnsi="Dax-Regular"/>
          <w:i/>
          <w:u w:val="single"/>
        </w:rPr>
        <w:t>mai</w:t>
      </w:r>
      <w:r w:rsidR="00867B2A" w:rsidRPr="00E210ED">
        <w:rPr>
          <w:rFonts w:ascii="Dax-Regular" w:hAnsi="Dax-Regular"/>
          <w:i/>
          <w:u w:val="single"/>
        </w:rPr>
        <w:t>)</w:t>
      </w:r>
    </w:p>
    <w:p w14:paraId="185EAB3F" w14:textId="77251997" w:rsidR="00A436BF" w:rsidRPr="00E210ED" w:rsidRDefault="00A436BF" w:rsidP="00A0265B">
      <w:pPr>
        <w:pStyle w:val="Paragraphedeliste"/>
        <w:ind w:left="1134"/>
        <w:jc w:val="both"/>
        <w:rPr>
          <w:rFonts w:ascii="Dax-Regular" w:hAnsi="Dax-Regular"/>
        </w:rPr>
      </w:pPr>
    </w:p>
    <w:p w14:paraId="02DC5AF8" w14:textId="77777777" w:rsidR="00A0265B" w:rsidRPr="00E210ED" w:rsidRDefault="00A0265B" w:rsidP="00A0265B">
      <w:pPr>
        <w:pStyle w:val="Paragraphedeliste"/>
        <w:ind w:left="1134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Pendant cette période s’applique :</w:t>
      </w:r>
    </w:p>
    <w:p w14:paraId="5A9A8FB8" w14:textId="77777777" w:rsidR="00A0265B" w:rsidRPr="00E210ED" w:rsidRDefault="00A0265B" w:rsidP="00A0265B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Soit un tarif/</w:t>
      </w:r>
      <w:r w:rsidR="00A436BF" w:rsidRPr="00E210ED">
        <w:rPr>
          <w:rFonts w:ascii="Dax-Regular" w:hAnsi="Dax-Regular"/>
        </w:rPr>
        <w:t>nuitée</w:t>
      </w:r>
      <w:r w:rsidRPr="00E210ED">
        <w:rPr>
          <w:rFonts w:ascii="Dax-Regular" w:hAnsi="Dax-Regular"/>
        </w:rPr>
        <w:t>,</w:t>
      </w:r>
    </w:p>
    <w:p w14:paraId="76886574" w14:textId="3906DC51" w:rsidR="00A0265B" w:rsidRPr="00E210ED" w:rsidRDefault="00A0265B" w:rsidP="00A0265B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Soit un tarif forfaitaire mensuel donnant lieu à un paiement d’avance le premier jour du mois de stationnement</w:t>
      </w:r>
      <w:r w:rsidR="00E11C05" w:rsidRPr="00E210ED">
        <w:rPr>
          <w:rFonts w:ascii="Dax-Regular" w:hAnsi="Dax-Regular"/>
        </w:rPr>
        <w:t>.</w:t>
      </w:r>
    </w:p>
    <w:p w14:paraId="3543E71F" w14:textId="574CFE95" w:rsidR="007132F7" w:rsidRPr="00E210ED" w:rsidRDefault="007132F7" w:rsidP="007132F7">
      <w:pPr>
        <w:pStyle w:val="Paragraphedeliste"/>
        <w:numPr>
          <w:ilvl w:val="0"/>
          <w:numId w:val="11"/>
        </w:numPr>
        <w:jc w:val="both"/>
        <w:rPr>
          <w:rFonts w:ascii="Dax-Regular" w:hAnsi="Dax-Regular"/>
          <w:i/>
          <w:iCs/>
          <w:u w:val="single"/>
        </w:rPr>
      </w:pPr>
      <w:r w:rsidRPr="00E210ED">
        <w:rPr>
          <w:rFonts w:ascii="Dax-Regular" w:hAnsi="Dax-Regular"/>
        </w:rPr>
        <w:t>T</w:t>
      </w:r>
      <w:r w:rsidRPr="00E210ED">
        <w:rPr>
          <w:rFonts w:ascii="Dax-Regular" w:hAnsi="Dax-Regular"/>
          <w:u w:val="single"/>
        </w:rPr>
        <w:t xml:space="preserve">arif saison intermédiaire : Période </w:t>
      </w:r>
      <w:r w:rsidR="0075123E" w:rsidRPr="00E210ED">
        <w:rPr>
          <w:rFonts w:ascii="Dax-Regular" w:hAnsi="Dax-Regular"/>
          <w:u w:val="single"/>
        </w:rPr>
        <w:t xml:space="preserve">blanche </w:t>
      </w:r>
      <w:r w:rsidR="0075123E" w:rsidRPr="00E210ED">
        <w:rPr>
          <w:rFonts w:ascii="Dax-Regular" w:hAnsi="Dax-Regular"/>
          <w:i/>
          <w:iCs/>
          <w:u w:val="single"/>
        </w:rPr>
        <w:t>(1</w:t>
      </w:r>
      <w:r w:rsidR="0075123E" w:rsidRPr="00E210ED">
        <w:rPr>
          <w:rFonts w:ascii="Dax-Regular" w:hAnsi="Dax-Regular"/>
          <w:i/>
          <w:iCs/>
          <w:u w:val="single"/>
          <w:vertAlign w:val="superscript"/>
        </w:rPr>
        <w:t>er</w:t>
      </w:r>
      <w:r w:rsidR="0075123E" w:rsidRPr="00E210ED">
        <w:rPr>
          <w:rFonts w:ascii="Dax-Regular" w:hAnsi="Dax-Regular"/>
          <w:i/>
          <w:iCs/>
          <w:u w:val="single"/>
        </w:rPr>
        <w:t xml:space="preserve"> mai au 1</w:t>
      </w:r>
      <w:r w:rsidR="0075123E" w:rsidRPr="00E210ED">
        <w:rPr>
          <w:rFonts w:ascii="Dax-Regular" w:hAnsi="Dax-Regular"/>
          <w:i/>
          <w:iCs/>
          <w:u w:val="single"/>
          <w:vertAlign w:val="superscript"/>
        </w:rPr>
        <w:t>er</w:t>
      </w:r>
      <w:r w:rsidR="0075123E" w:rsidRPr="00E210ED">
        <w:rPr>
          <w:rFonts w:ascii="Dax-Regular" w:hAnsi="Dax-Regular"/>
          <w:i/>
          <w:iCs/>
          <w:u w:val="single"/>
        </w:rPr>
        <w:t xml:space="preserve"> juillet et 1</w:t>
      </w:r>
      <w:r w:rsidR="0075123E" w:rsidRPr="00E210ED">
        <w:rPr>
          <w:rFonts w:ascii="Dax-Regular" w:hAnsi="Dax-Regular"/>
          <w:i/>
          <w:iCs/>
          <w:u w:val="single"/>
          <w:vertAlign w:val="superscript"/>
        </w:rPr>
        <w:t>er</w:t>
      </w:r>
      <w:r w:rsidR="0075123E" w:rsidRPr="00E210ED">
        <w:rPr>
          <w:rFonts w:ascii="Dax-Regular" w:hAnsi="Dax-Regular"/>
          <w:i/>
          <w:iCs/>
          <w:u w:val="single"/>
        </w:rPr>
        <w:t xml:space="preserve"> septembre au 1</w:t>
      </w:r>
      <w:r w:rsidR="0075123E" w:rsidRPr="00E210ED">
        <w:rPr>
          <w:rFonts w:ascii="Dax-Regular" w:hAnsi="Dax-Regular"/>
          <w:i/>
          <w:iCs/>
          <w:u w:val="single"/>
          <w:vertAlign w:val="superscript"/>
        </w:rPr>
        <w:t>er</w:t>
      </w:r>
      <w:r w:rsidR="0075123E" w:rsidRPr="00E210ED">
        <w:rPr>
          <w:rFonts w:ascii="Dax-Regular" w:hAnsi="Dax-Regular"/>
          <w:i/>
          <w:iCs/>
          <w:u w:val="single"/>
        </w:rPr>
        <w:t xml:space="preserve"> </w:t>
      </w:r>
      <w:r w:rsidR="002B6E08" w:rsidRPr="00E210ED">
        <w:rPr>
          <w:rFonts w:ascii="Dax-Regular" w:hAnsi="Dax-Regular"/>
          <w:i/>
          <w:iCs/>
          <w:u w:val="single"/>
        </w:rPr>
        <w:t>novembre</w:t>
      </w:r>
      <w:r w:rsidR="0075123E" w:rsidRPr="00E210ED">
        <w:rPr>
          <w:rFonts w:ascii="Dax-Regular" w:hAnsi="Dax-Regular"/>
          <w:i/>
          <w:iCs/>
          <w:u w:val="single"/>
        </w:rPr>
        <w:t>)</w:t>
      </w:r>
    </w:p>
    <w:p w14:paraId="7F3FADCD" w14:textId="77777777" w:rsidR="00A0265B" w:rsidRPr="00E210ED" w:rsidRDefault="00A0265B" w:rsidP="00A0265B">
      <w:pPr>
        <w:pStyle w:val="Paragraphedeliste"/>
        <w:ind w:left="1080"/>
        <w:jc w:val="both"/>
        <w:rPr>
          <w:rFonts w:ascii="Dax-Regular" w:hAnsi="Dax-Regular"/>
          <w:highlight w:val="yellow"/>
          <w:u w:val="single"/>
        </w:rPr>
      </w:pPr>
    </w:p>
    <w:p w14:paraId="48FB9F03" w14:textId="77777777" w:rsidR="00A0265B" w:rsidRPr="00E210ED" w:rsidRDefault="00A0265B" w:rsidP="00A0265B">
      <w:pPr>
        <w:pStyle w:val="Paragraphedeliste"/>
        <w:ind w:left="1134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Pendant cette période s’applique :</w:t>
      </w:r>
    </w:p>
    <w:p w14:paraId="78101492" w14:textId="77777777" w:rsidR="00A0265B" w:rsidRPr="00E210ED" w:rsidRDefault="00A0265B" w:rsidP="00A0265B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Soit un tarif/</w:t>
      </w:r>
      <w:r w:rsidR="00A436BF" w:rsidRPr="00E210ED">
        <w:rPr>
          <w:rFonts w:ascii="Dax-Regular" w:hAnsi="Dax-Regular"/>
        </w:rPr>
        <w:t>nuitée</w:t>
      </w:r>
      <w:r w:rsidRPr="00E210ED">
        <w:rPr>
          <w:rFonts w:ascii="Dax-Regular" w:hAnsi="Dax-Regular"/>
        </w:rPr>
        <w:t>,</w:t>
      </w:r>
    </w:p>
    <w:p w14:paraId="1BF2271E" w14:textId="1FAAD3DE" w:rsidR="00A0265B" w:rsidRPr="00E210ED" w:rsidRDefault="00A0265B" w:rsidP="00A0265B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Soit un tarif forfaitaire mensuel donnant lieu à un paiement d’avance le premier jour du mois de stationnement</w:t>
      </w:r>
      <w:r w:rsidR="00E11C05" w:rsidRPr="00E210ED">
        <w:rPr>
          <w:rFonts w:ascii="Dax-Regular" w:hAnsi="Dax-Regular"/>
        </w:rPr>
        <w:t>.</w:t>
      </w:r>
    </w:p>
    <w:p w14:paraId="33D369F7" w14:textId="77777777" w:rsidR="005F3026" w:rsidRPr="00E210ED" w:rsidRDefault="005F3026" w:rsidP="005F3026">
      <w:pPr>
        <w:pStyle w:val="Paragraphedeliste"/>
        <w:ind w:left="1134"/>
        <w:rPr>
          <w:rFonts w:ascii="Dax-Regular" w:hAnsi="Dax-Regular"/>
        </w:rPr>
      </w:pPr>
    </w:p>
    <w:p w14:paraId="5094E7D2" w14:textId="1F70656B" w:rsidR="005F3026" w:rsidRPr="00E210ED" w:rsidRDefault="005F3026" w:rsidP="005F3026">
      <w:pPr>
        <w:pStyle w:val="Paragraphedeliste"/>
        <w:numPr>
          <w:ilvl w:val="0"/>
          <w:numId w:val="11"/>
        </w:numPr>
        <w:jc w:val="both"/>
        <w:rPr>
          <w:rFonts w:ascii="Dax-Regular" w:hAnsi="Dax-Regular"/>
          <w:u w:val="single"/>
        </w:rPr>
      </w:pPr>
      <w:r w:rsidRPr="00E210ED">
        <w:rPr>
          <w:rFonts w:ascii="Dax-Regular" w:hAnsi="Dax-Regular"/>
          <w:u w:val="single"/>
        </w:rPr>
        <w:t>Tarif haute saison</w:t>
      </w:r>
      <w:r w:rsidR="00867B2A" w:rsidRPr="00E210ED">
        <w:rPr>
          <w:rFonts w:ascii="Dax-Regular" w:hAnsi="Dax-Regular"/>
          <w:u w:val="single"/>
        </w:rPr>
        <w:t xml:space="preserve"> : Période rouge </w:t>
      </w:r>
      <w:r w:rsidR="00867B2A" w:rsidRPr="00E210ED">
        <w:rPr>
          <w:rFonts w:ascii="Dax-Regular" w:hAnsi="Dax-Regular"/>
          <w:i/>
          <w:u w:val="single"/>
        </w:rPr>
        <w:t>(</w:t>
      </w:r>
      <w:r w:rsidRPr="00E210ED">
        <w:rPr>
          <w:rFonts w:ascii="Dax-Regular" w:hAnsi="Dax-Regular"/>
          <w:i/>
          <w:u w:val="single"/>
        </w:rPr>
        <w:t>1</w:t>
      </w:r>
      <w:r w:rsidRPr="00E210ED">
        <w:rPr>
          <w:rFonts w:ascii="Dax-Regular" w:hAnsi="Dax-Regular"/>
          <w:i/>
          <w:u w:val="single"/>
          <w:vertAlign w:val="superscript"/>
        </w:rPr>
        <w:t>er</w:t>
      </w:r>
      <w:r w:rsidRPr="00E210ED">
        <w:rPr>
          <w:rFonts w:ascii="Dax-Regular" w:hAnsi="Dax-Regular"/>
          <w:i/>
          <w:u w:val="single"/>
        </w:rPr>
        <w:t xml:space="preserve"> </w:t>
      </w:r>
      <w:r w:rsidR="00B63C4B" w:rsidRPr="00E210ED">
        <w:rPr>
          <w:rFonts w:ascii="Dax-Regular" w:hAnsi="Dax-Regular"/>
          <w:i/>
          <w:u w:val="single"/>
        </w:rPr>
        <w:t>juillet</w:t>
      </w:r>
      <w:r w:rsidRPr="00E210ED">
        <w:rPr>
          <w:rFonts w:ascii="Dax-Regular" w:hAnsi="Dax-Regular"/>
          <w:i/>
          <w:u w:val="single"/>
        </w:rPr>
        <w:t xml:space="preserve"> au </w:t>
      </w:r>
      <w:r w:rsidR="00A436BF" w:rsidRPr="00E210ED">
        <w:rPr>
          <w:rFonts w:ascii="Dax-Regular" w:hAnsi="Dax-Regular"/>
          <w:i/>
          <w:u w:val="single"/>
        </w:rPr>
        <w:t>1</w:t>
      </w:r>
      <w:r w:rsidR="00A436BF" w:rsidRPr="00E210ED">
        <w:rPr>
          <w:rFonts w:ascii="Dax-Regular" w:hAnsi="Dax-Regular"/>
          <w:i/>
          <w:u w:val="single"/>
          <w:vertAlign w:val="superscript"/>
        </w:rPr>
        <w:t>er</w:t>
      </w:r>
      <w:r w:rsidR="00A436BF" w:rsidRPr="00E210ED">
        <w:rPr>
          <w:rFonts w:ascii="Dax-Regular" w:hAnsi="Dax-Regular"/>
          <w:i/>
          <w:u w:val="single"/>
        </w:rPr>
        <w:t xml:space="preserve"> septembre</w:t>
      </w:r>
      <w:r w:rsidR="00867B2A" w:rsidRPr="00E210ED">
        <w:rPr>
          <w:rFonts w:ascii="Dax-Regular" w:hAnsi="Dax-Regular"/>
          <w:i/>
          <w:u w:val="single"/>
        </w:rPr>
        <w:t>)</w:t>
      </w:r>
    </w:p>
    <w:p w14:paraId="7B8E3AE0" w14:textId="77777777" w:rsidR="00A0265B" w:rsidRPr="00E210ED" w:rsidRDefault="00A0265B" w:rsidP="00CE768B">
      <w:pPr>
        <w:pStyle w:val="Paragraphedeliste"/>
        <w:ind w:left="1134"/>
        <w:jc w:val="both"/>
        <w:rPr>
          <w:rFonts w:ascii="Dax-Regular" w:hAnsi="Dax-Regular"/>
        </w:rPr>
      </w:pPr>
    </w:p>
    <w:p w14:paraId="1A75B08B" w14:textId="77777777" w:rsidR="005F3026" w:rsidRPr="00E210ED" w:rsidRDefault="00CE768B" w:rsidP="00CE768B">
      <w:pPr>
        <w:pStyle w:val="Paragraphedeliste"/>
        <w:ind w:left="1134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Pendant cette période s’applique :</w:t>
      </w:r>
    </w:p>
    <w:p w14:paraId="30028011" w14:textId="77777777" w:rsidR="00CE768B" w:rsidRPr="00E210ED" w:rsidRDefault="00CE768B" w:rsidP="00CE768B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Soit un tarif/</w:t>
      </w:r>
      <w:r w:rsidR="00A436BF" w:rsidRPr="00E210ED">
        <w:rPr>
          <w:rFonts w:ascii="Dax-Regular" w:hAnsi="Dax-Regular"/>
        </w:rPr>
        <w:t>nuitée</w:t>
      </w:r>
      <w:r w:rsidRPr="00E210ED">
        <w:rPr>
          <w:rFonts w:ascii="Dax-Regular" w:hAnsi="Dax-Regular"/>
        </w:rPr>
        <w:t>,</w:t>
      </w:r>
    </w:p>
    <w:p w14:paraId="6AF7CF29" w14:textId="778E9CE0" w:rsidR="00CE768B" w:rsidRPr="00E210ED" w:rsidRDefault="00CE768B" w:rsidP="00CE768B">
      <w:pPr>
        <w:pStyle w:val="Paragraphedeliste"/>
        <w:numPr>
          <w:ilvl w:val="0"/>
          <w:numId w:val="4"/>
        </w:numPr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 xml:space="preserve">Soit un tarif forfaitaire mensuel </w:t>
      </w:r>
      <w:r w:rsidR="001D35E9" w:rsidRPr="00E210ED">
        <w:rPr>
          <w:rFonts w:ascii="Dax-Regular" w:hAnsi="Dax-Regular"/>
        </w:rPr>
        <w:t>donnant lieu à un paiement d’avance le premier jour du mois de stationnement</w:t>
      </w:r>
      <w:r w:rsidR="00E11C05" w:rsidRPr="00E210ED">
        <w:rPr>
          <w:rFonts w:ascii="Dax-Regular" w:hAnsi="Dax-Regular"/>
        </w:rPr>
        <w:t>.</w:t>
      </w:r>
      <w:r w:rsidR="001D35E9" w:rsidRPr="00E210ED">
        <w:rPr>
          <w:rFonts w:ascii="Dax-Regular" w:hAnsi="Dax-Regular"/>
        </w:rPr>
        <w:t xml:space="preserve"> </w:t>
      </w:r>
    </w:p>
    <w:p w14:paraId="590C653B" w14:textId="77777777" w:rsidR="00B958C6" w:rsidRPr="00E210ED" w:rsidRDefault="00B958C6" w:rsidP="00CE768B">
      <w:pPr>
        <w:pStyle w:val="Paragraphedeliste"/>
        <w:ind w:left="1134"/>
        <w:jc w:val="both"/>
        <w:rPr>
          <w:rFonts w:ascii="Dax-Regular" w:hAnsi="Dax-Regular"/>
        </w:rPr>
      </w:pPr>
    </w:p>
    <w:p w14:paraId="701B2BB4" w14:textId="77777777" w:rsidR="00012208" w:rsidRPr="00E210ED" w:rsidRDefault="00012208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Redevance annuelle</w:t>
      </w:r>
    </w:p>
    <w:p w14:paraId="0DF57086" w14:textId="77777777" w:rsidR="004D258B" w:rsidRPr="00E210ED" w:rsidRDefault="007C40C6" w:rsidP="00012208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Seuls les bateaux titulaires d’un</w:t>
      </w:r>
      <w:r w:rsidR="00A73BA9" w:rsidRPr="00E210ED">
        <w:rPr>
          <w:rFonts w:ascii="Dax-Regular" w:hAnsi="Dax-Regular"/>
        </w:rPr>
        <w:t>e</w:t>
      </w:r>
      <w:r w:rsidRPr="00E210ED">
        <w:rPr>
          <w:rFonts w:ascii="Dax-Regular" w:hAnsi="Dax-Regular"/>
        </w:rPr>
        <w:t xml:space="preserve"> </w:t>
      </w:r>
      <w:r w:rsidR="00A73BA9" w:rsidRPr="00E210ED">
        <w:rPr>
          <w:rFonts w:ascii="Dax-Regular" w:hAnsi="Dax-Regular"/>
        </w:rPr>
        <w:t xml:space="preserve">AOT annuelle </w:t>
      </w:r>
      <w:r w:rsidRPr="00E210ED">
        <w:rPr>
          <w:rFonts w:ascii="Dax-Regular" w:hAnsi="Dax-Regular"/>
        </w:rPr>
        <w:t xml:space="preserve">pourront bénéficier de ce tarif. </w:t>
      </w:r>
    </w:p>
    <w:p w14:paraId="1BEA86C5" w14:textId="79010A7C" w:rsidR="00496880" w:rsidRPr="00E210ED" w:rsidRDefault="004D258B" w:rsidP="00012208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Le</w:t>
      </w:r>
      <w:r w:rsidR="007C40C6" w:rsidRPr="00E210ED">
        <w:rPr>
          <w:rFonts w:ascii="Dax-Regular" w:hAnsi="Dax-Regular"/>
        </w:rPr>
        <w:t xml:space="preserve">s redevances annuelles </w:t>
      </w:r>
      <w:r w:rsidR="0075123E" w:rsidRPr="00E210ED">
        <w:rPr>
          <w:rFonts w:ascii="Dax-Regular" w:hAnsi="Dax-Regular"/>
        </w:rPr>
        <w:t>s’appliquent</w:t>
      </w:r>
      <w:r w:rsidR="007C40C6" w:rsidRPr="00E210ED">
        <w:rPr>
          <w:rFonts w:ascii="Dax-Regular" w:hAnsi="Dax-Regular"/>
        </w:rPr>
        <w:t xml:space="preserve"> par année civile.</w:t>
      </w:r>
    </w:p>
    <w:p w14:paraId="37FC3C7F" w14:textId="627681DE" w:rsidR="0077741A" w:rsidRPr="00E210ED" w:rsidRDefault="00E11C05" w:rsidP="00012208">
      <w:pPr>
        <w:pStyle w:val="Paragraphedeliste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Les professionnels de la mer et les loueurs de bateaux bénéficient d’une réduction de 10 % sur le tarif annuel.</w:t>
      </w:r>
    </w:p>
    <w:p w14:paraId="491D14F6" w14:textId="77777777" w:rsidR="00A0265B" w:rsidRPr="00E210ED" w:rsidRDefault="00A0265B" w:rsidP="00012208">
      <w:pPr>
        <w:pStyle w:val="Paragraphedeliste"/>
        <w:jc w:val="both"/>
        <w:rPr>
          <w:rFonts w:ascii="Dax-Regular" w:hAnsi="Dax-Regular"/>
        </w:rPr>
      </w:pPr>
    </w:p>
    <w:p w14:paraId="2ACC4725" w14:textId="77777777" w:rsidR="00012208" w:rsidRPr="00E210ED" w:rsidRDefault="00012208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Accès WIFI</w:t>
      </w:r>
    </w:p>
    <w:p w14:paraId="79D22A82" w14:textId="512060CD" w:rsidR="007C40C6" w:rsidRPr="00E210ED" w:rsidRDefault="007C40C6" w:rsidP="004206BC">
      <w:pPr>
        <w:pStyle w:val="Paragraphedeliste"/>
        <w:rPr>
          <w:rFonts w:ascii="Dax-Regular" w:hAnsi="Dax-Regular"/>
        </w:rPr>
      </w:pPr>
      <w:r w:rsidRPr="00E210ED">
        <w:rPr>
          <w:rFonts w:ascii="Dax-Regular" w:hAnsi="Dax-Regular"/>
        </w:rPr>
        <w:t>Accès gratuit.</w:t>
      </w:r>
    </w:p>
    <w:p w14:paraId="2A4B9247" w14:textId="77777777" w:rsidR="00E75493" w:rsidRPr="00E210ED" w:rsidRDefault="00E75493" w:rsidP="004206BC">
      <w:pPr>
        <w:pStyle w:val="Paragraphedeliste"/>
        <w:rPr>
          <w:rFonts w:ascii="Dax-Regular" w:hAnsi="Dax-Regular"/>
        </w:rPr>
      </w:pPr>
    </w:p>
    <w:p w14:paraId="0EB5B5CA" w14:textId="0F46B1C9" w:rsidR="00B43B07" w:rsidRPr="00E210ED" w:rsidRDefault="00344323" w:rsidP="00F22E67">
      <w:pPr>
        <w:pStyle w:val="Paragraphedeliste"/>
        <w:numPr>
          <w:ilvl w:val="0"/>
          <w:numId w:val="2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E210ED">
        <w:rPr>
          <w:rFonts w:ascii="Dax-Regular" w:hAnsi="Dax-Regular"/>
        </w:rPr>
        <w:t>Machine à glaçons</w:t>
      </w:r>
    </w:p>
    <w:p w14:paraId="53A1785C" w14:textId="2D511CCD" w:rsidR="00E11C05" w:rsidRPr="00E210ED" w:rsidRDefault="007B7EE1" w:rsidP="008C305C">
      <w:pPr>
        <w:ind w:firstLine="709"/>
        <w:jc w:val="both"/>
        <w:rPr>
          <w:rFonts w:ascii="Dax-Regular" w:hAnsi="Dax-Regular"/>
        </w:rPr>
      </w:pPr>
      <w:r w:rsidRPr="00E210ED">
        <w:rPr>
          <w:rFonts w:ascii="Dax-Regular" w:hAnsi="Dax-Regular"/>
          <w:b/>
          <w:bCs/>
        </w:rPr>
        <w:t>3</w:t>
      </w:r>
      <w:r w:rsidR="00D25D77" w:rsidRPr="00E210ED">
        <w:rPr>
          <w:rFonts w:ascii="Dax-Regular" w:hAnsi="Dax-Regular"/>
        </w:rPr>
        <w:t xml:space="preserve"> </w:t>
      </w:r>
      <w:r w:rsidR="00344323" w:rsidRPr="00E210ED">
        <w:rPr>
          <w:rFonts w:ascii="Dax-Regular" w:hAnsi="Dax-Regular"/>
        </w:rPr>
        <w:t xml:space="preserve">€ TTC les 2 kg de </w:t>
      </w:r>
      <w:r w:rsidR="001F7231" w:rsidRPr="00E210ED">
        <w:rPr>
          <w:rFonts w:ascii="Dax-Regular" w:hAnsi="Dax-Regular"/>
        </w:rPr>
        <w:t>glaçons</w:t>
      </w:r>
    </w:p>
    <w:p w14:paraId="01F389B8" w14:textId="77777777" w:rsidR="001F7DFA" w:rsidRPr="001F7DFA" w:rsidRDefault="001F7DFA" w:rsidP="001F7DFA">
      <w:pPr>
        <w:ind w:left="709"/>
        <w:jc w:val="both"/>
        <w:rPr>
          <w:rFonts w:ascii="Dax-Regular" w:hAnsi="Dax-Regular"/>
          <w:sz w:val="4"/>
          <w:szCs w:val="4"/>
        </w:rPr>
      </w:pPr>
    </w:p>
    <w:p w14:paraId="200FF0F3" w14:textId="46194585" w:rsidR="0075123E" w:rsidRPr="008604C8" w:rsidRDefault="0075123E" w:rsidP="0075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>
        <w:rPr>
          <w:rFonts w:ascii="Dax-Regular" w:hAnsi="Dax-Regular"/>
          <w:b/>
          <w:sz w:val="28"/>
          <w:szCs w:val="28"/>
          <w:u w:val="single"/>
        </w:rPr>
        <w:t>ARTICLE 3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</w:t>
      </w:r>
      <w:r>
        <w:rPr>
          <w:rFonts w:ascii="Dax-Regular" w:hAnsi="Dax-Regular"/>
          <w:sz w:val="28"/>
          <w:szCs w:val="28"/>
          <w:u w:val="single"/>
        </w:rPr>
        <w:t xml:space="preserve">FOURNITURE DES FLUIDES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3F548CFD" w14:textId="77777777" w:rsidR="007522C0" w:rsidRPr="007522C0" w:rsidRDefault="007522C0" w:rsidP="007522C0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0E82F6E9" w14:textId="1BAC94CD" w:rsidR="0075123E" w:rsidRPr="000F6719" w:rsidRDefault="0075123E" w:rsidP="0075123E">
      <w:pPr>
        <w:pStyle w:val="Paragraphedeliste"/>
        <w:numPr>
          <w:ilvl w:val="0"/>
          <w:numId w:val="26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Eau douce </w:t>
      </w:r>
    </w:p>
    <w:p w14:paraId="5146FDEB" w14:textId="77777777" w:rsidR="0075123E" w:rsidRPr="000F6719" w:rsidRDefault="0075123E" w:rsidP="0075123E">
      <w:pPr>
        <w:ind w:left="42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La fourniture d’eau douce à quai est comprise dans la redevance de stationnement et d’amarrage des usagers.</w:t>
      </w:r>
    </w:p>
    <w:p w14:paraId="2B87FFD5" w14:textId="7B631692" w:rsidR="0075123E" w:rsidRPr="000F6719" w:rsidRDefault="0075123E" w:rsidP="0075123E">
      <w:pPr>
        <w:ind w:left="42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En période de sècheresse ou de pénurie d’eau</w:t>
      </w:r>
      <w:r w:rsidR="009E4B37" w:rsidRPr="000F6719">
        <w:rPr>
          <w:rFonts w:ascii="Dax-Regular" w:hAnsi="Dax-Regular"/>
        </w:rPr>
        <w:t>, la distribution</w:t>
      </w:r>
      <w:r w:rsidRPr="000F6719">
        <w:rPr>
          <w:rFonts w:ascii="Dax-Regular" w:hAnsi="Dax-Regular"/>
        </w:rPr>
        <w:t xml:space="preserve"> d’eau potable peut être limité</w:t>
      </w:r>
      <w:r w:rsidR="009E4B37" w:rsidRPr="000F6719">
        <w:rPr>
          <w:rFonts w:ascii="Dax-Regular" w:hAnsi="Dax-Regular"/>
        </w:rPr>
        <w:t>e</w:t>
      </w:r>
      <w:r w:rsidRPr="000F6719">
        <w:rPr>
          <w:rFonts w:ascii="Dax-Regular" w:hAnsi="Dax-Regular"/>
        </w:rPr>
        <w:t xml:space="preserve"> dans le temps</w:t>
      </w:r>
      <w:r w:rsidR="009E4B37" w:rsidRPr="000F6719">
        <w:rPr>
          <w:rFonts w:ascii="Dax-Regular" w:hAnsi="Dax-Regular"/>
        </w:rPr>
        <w:t>,</w:t>
      </w:r>
      <w:r w:rsidRPr="000F6719">
        <w:rPr>
          <w:rFonts w:ascii="Dax-Regular" w:hAnsi="Dax-Regular"/>
        </w:rPr>
        <w:t xml:space="preserve"> et la consommation, limitée en volume.</w:t>
      </w:r>
    </w:p>
    <w:p w14:paraId="723CE512" w14:textId="77777777" w:rsidR="0075123E" w:rsidRPr="000F6719" w:rsidRDefault="0075123E" w:rsidP="0075123E">
      <w:pPr>
        <w:ind w:left="426"/>
        <w:jc w:val="both"/>
        <w:rPr>
          <w:rFonts w:ascii="Dax-Regular" w:hAnsi="Dax-Regular"/>
        </w:rPr>
      </w:pPr>
    </w:p>
    <w:p w14:paraId="252CCDDD" w14:textId="77777777" w:rsidR="0075123E" w:rsidRPr="000F6719" w:rsidRDefault="0075123E" w:rsidP="0075123E">
      <w:pPr>
        <w:pStyle w:val="Paragraphedeliste"/>
        <w:numPr>
          <w:ilvl w:val="0"/>
          <w:numId w:val="26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lastRenderedPageBreak/>
        <w:t xml:space="preserve">Energie électrique </w:t>
      </w:r>
    </w:p>
    <w:p w14:paraId="42E26789" w14:textId="77777777" w:rsidR="0075123E" w:rsidRPr="000F6719" w:rsidRDefault="0075123E" w:rsidP="0075123E">
      <w:pPr>
        <w:ind w:left="42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La fourniture d’énergie électrique est comprise dans la redevance de stationnement d’amarrage des usagers.</w:t>
      </w:r>
    </w:p>
    <w:p w14:paraId="1EB9F002" w14:textId="77777777" w:rsidR="00F22E67" w:rsidRDefault="00F22E67" w:rsidP="0075123E">
      <w:pPr>
        <w:ind w:left="426"/>
        <w:jc w:val="both"/>
        <w:rPr>
          <w:rFonts w:ascii="Dax-Regular" w:hAnsi="Dax-Regular"/>
          <w:sz w:val="24"/>
          <w:szCs w:val="24"/>
        </w:rPr>
      </w:pPr>
    </w:p>
    <w:p w14:paraId="15C3B225" w14:textId="432FBFC0" w:rsidR="00403219" w:rsidRPr="008604C8" w:rsidRDefault="00403219" w:rsidP="00403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 w:rsidR="0075123E">
        <w:rPr>
          <w:rFonts w:ascii="Dax-Regular" w:hAnsi="Dax-Regular"/>
          <w:b/>
          <w:sz w:val="28"/>
          <w:szCs w:val="28"/>
          <w:u w:val="single"/>
        </w:rPr>
        <w:t>4</w:t>
      </w:r>
      <w:r w:rsidRPr="008604C8">
        <w:rPr>
          <w:rFonts w:ascii="Dax-Regular" w:hAnsi="Dax-Regular"/>
          <w:sz w:val="28"/>
          <w:szCs w:val="28"/>
          <w:u w:val="single"/>
        </w:rPr>
        <w:t xml:space="preserve"> – </w:t>
      </w:r>
      <w:r>
        <w:rPr>
          <w:rFonts w:ascii="Dax-Regular" w:hAnsi="Dax-Regular"/>
          <w:sz w:val="28"/>
          <w:szCs w:val="28"/>
          <w:u w:val="single"/>
        </w:rPr>
        <w:t>REDEVANCES DE STATIONNEMENT ET D’AMARRAGE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0F95FBBA" w14:textId="77777777" w:rsidR="00403219" w:rsidRDefault="00403219" w:rsidP="00403219">
      <w:pPr>
        <w:jc w:val="both"/>
        <w:rPr>
          <w:rFonts w:ascii="Dax-Regular" w:hAnsi="Dax-Regular"/>
          <w:sz w:val="24"/>
          <w:szCs w:val="24"/>
        </w:rPr>
      </w:pPr>
    </w:p>
    <w:p w14:paraId="3CDCBEF1" w14:textId="77777777" w:rsidR="00403219" w:rsidRPr="000F6719" w:rsidRDefault="00403219" w:rsidP="00403219">
      <w:pPr>
        <w:jc w:val="both"/>
        <w:rPr>
          <w:rFonts w:ascii="Dax-Regular" w:hAnsi="Dax-Regular"/>
          <w:b/>
        </w:rPr>
      </w:pPr>
      <w:r w:rsidRPr="000F6719">
        <w:rPr>
          <w:rFonts w:ascii="Dax-Regular" w:hAnsi="Dax-Regular"/>
          <w:b/>
        </w:rPr>
        <w:t xml:space="preserve">Elle doit être payée </w:t>
      </w:r>
      <w:r w:rsidR="00726065" w:rsidRPr="000F6719">
        <w:rPr>
          <w:rFonts w:ascii="Dax-Regular" w:hAnsi="Dax-Regular"/>
          <w:b/>
        </w:rPr>
        <w:t>en début de</w:t>
      </w:r>
      <w:r w:rsidRPr="000F6719">
        <w:rPr>
          <w:rFonts w:ascii="Dax-Regular" w:hAnsi="Dax-Regular"/>
          <w:b/>
        </w:rPr>
        <w:t xml:space="preserve"> la période d’occupation qui aura été autorisée.</w:t>
      </w:r>
    </w:p>
    <w:p w14:paraId="45012D2C" w14:textId="77777777" w:rsidR="00403219" w:rsidRPr="000F6719" w:rsidRDefault="00403219" w:rsidP="00403219">
      <w:pPr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A défaut, le non-paiement donnera l</w:t>
      </w:r>
      <w:r w:rsidR="00F14C70" w:rsidRPr="000F6719">
        <w:rPr>
          <w:rFonts w:ascii="Dax-Regular" w:hAnsi="Dax-Regular"/>
        </w:rPr>
        <w:t>ieu à une relance de la facture ou de l’avis de sommes à payer.</w:t>
      </w:r>
    </w:p>
    <w:p w14:paraId="592EC43A" w14:textId="205D6A8E" w:rsidR="00403219" w:rsidRPr="000F6719" w:rsidRDefault="00403219" w:rsidP="00403219">
      <w:pPr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 xml:space="preserve">Le forfait annuel de la redevance d’amarrage est payable dans les 30 </w:t>
      </w:r>
      <w:r w:rsidR="006021B8" w:rsidRPr="000F6719">
        <w:rPr>
          <w:rFonts w:ascii="Dax-Regular" w:hAnsi="Dax-Regular"/>
        </w:rPr>
        <w:t>j</w:t>
      </w:r>
      <w:r w:rsidRPr="000F6719">
        <w:rPr>
          <w:rFonts w:ascii="Dax-Regular" w:hAnsi="Dax-Regular"/>
        </w:rPr>
        <w:t>ours suivant</w:t>
      </w:r>
      <w:r w:rsidR="006021B8" w:rsidRPr="000F6719">
        <w:rPr>
          <w:rFonts w:ascii="Dax-Regular" w:hAnsi="Dax-Regular"/>
        </w:rPr>
        <w:t>s</w:t>
      </w:r>
      <w:r w:rsidRPr="000F6719">
        <w:rPr>
          <w:rFonts w:ascii="Dax-Regular" w:hAnsi="Dax-Regular"/>
        </w:rPr>
        <w:t xml:space="preserve"> la réception </w:t>
      </w:r>
      <w:r w:rsidR="00F14C70" w:rsidRPr="000F6719">
        <w:rPr>
          <w:rFonts w:ascii="Dax-Regular" w:hAnsi="Dax-Regular"/>
        </w:rPr>
        <w:t>de l’avis de somme</w:t>
      </w:r>
      <w:r w:rsidR="006021B8" w:rsidRPr="000F6719">
        <w:rPr>
          <w:rFonts w:ascii="Dax-Regular" w:hAnsi="Dax-Regular"/>
        </w:rPr>
        <w:t>s</w:t>
      </w:r>
      <w:r w:rsidR="00F14C70" w:rsidRPr="000F6719">
        <w:rPr>
          <w:rFonts w:ascii="Dax-Regular" w:hAnsi="Dax-Regular"/>
        </w:rPr>
        <w:t xml:space="preserve"> à payer.</w:t>
      </w:r>
      <w:r w:rsidRPr="000F6719">
        <w:rPr>
          <w:rFonts w:ascii="Dax-Regular" w:hAnsi="Dax-Regular"/>
        </w:rPr>
        <w:t xml:space="preserve"> Son non-paiement dans les délais prévus, entraînera la radiation de titularité du bénéficiaire</w:t>
      </w:r>
      <w:r w:rsidR="00726065" w:rsidRPr="000F6719">
        <w:rPr>
          <w:rFonts w:ascii="Dax-Regular" w:hAnsi="Dax-Regular"/>
        </w:rPr>
        <w:t xml:space="preserve"> à compter de l’année concernée.</w:t>
      </w:r>
    </w:p>
    <w:p w14:paraId="722ADDB4" w14:textId="77777777" w:rsidR="00726065" w:rsidRPr="000F6719" w:rsidRDefault="00726065" w:rsidP="00403219">
      <w:pPr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Dans ce cas, une indemnité d’occupation illicite de 20 % supplémentaire sera appliquée.</w:t>
      </w:r>
    </w:p>
    <w:p w14:paraId="18532E43" w14:textId="77777777" w:rsidR="00E210ED" w:rsidRPr="000F6719" w:rsidRDefault="00E210ED" w:rsidP="00E210ED">
      <w:pPr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La redevance de stationnement et d’amarrage est due par le propriétaire du navire.</w:t>
      </w:r>
    </w:p>
    <w:p w14:paraId="2DAD55A2" w14:textId="77777777" w:rsidR="00F22E67" w:rsidRPr="000F6719" w:rsidRDefault="00F22E67" w:rsidP="00403219">
      <w:pPr>
        <w:jc w:val="both"/>
        <w:rPr>
          <w:rFonts w:ascii="Dax-Regular" w:hAnsi="Dax-Regular"/>
        </w:rPr>
      </w:pPr>
    </w:p>
    <w:p w14:paraId="103977F5" w14:textId="633E6D19" w:rsidR="00F829A1" w:rsidRPr="000F6719" w:rsidRDefault="00F22E67" w:rsidP="00F22E67">
      <w:pPr>
        <w:pStyle w:val="Paragraphedeliste"/>
        <w:numPr>
          <w:ilvl w:val="0"/>
          <w:numId w:val="1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 xml:space="preserve">Redevance de Stationnement et amarrage – Annuel </w:t>
      </w:r>
    </w:p>
    <w:p w14:paraId="07BBA170" w14:textId="77777777" w:rsidR="004D258B" w:rsidRPr="000F6719" w:rsidRDefault="004D258B" w:rsidP="00134004">
      <w:pPr>
        <w:ind w:left="360"/>
        <w:jc w:val="both"/>
        <w:rPr>
          <w:rFonts w:ascii="Dax-Regular" w:hAnsi="Dax-Regular"/>
        </w:rPr>
      </w:pPr>
    </w:p>
    <w:p w14:paraId="442CF857" w14:textId="4801493F" w:rsidR="00134004" w:rsidRDefault="00134004" w:rsidP="00134004">
      <w:pPr>
        <w:ind w:left="360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 xml:space="preserve">Le tarif annuel est uniquement applicable aux bateaux titulaires d’une AOT </w:t>
      </w:r>
      <w:r w:rsidR="00344323" w:rsidRPr="000F6719">
        <w:rPr>
          <w:rFonts w:ascii="Dax-Regular" w:hAnsi="Dax-Regular"/>
        </w:rPr>
        <w:t>(</w:t>
      </w:r>
      <w:r w:rsidRPr="000F6719">
        <w:rPr>
          <w:rFonts w:ascii="Dax-Regular" w:hAnsi="Dax-Regular"/>
        </w:rPr>
        <w:t>s’applique par année civile</w:t>
      </w:r>
      <w:r w:rsidR="006021B8" w:rsidRPr="000F6719">
        <w:rPr>
          <w:rFonts w:ascii="Dax-Regular" w:hAnsi="Dax-Regular"/>
        </w:rPr>
        <w:t>).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879"/>
        <w:gridCol w:w="2226"/>
        <w:gridCol w:w="3062"/>
      </w:tblGrid>
      <w:tr w:rsidR="006E5C03" w:rsidRPr="00EF1D58" w14:paraId="3999F1E3" w14:textId="77777777" w:rsidTr="006E5C03">
        <w:trPr>
          <w:trHeight w:val="468"/>
        </w:trPr>
        <w:tc>
          <w:tcPr>
            <w:tcW w:w="1474" w:type="dxa"/>
            <w:vMerge w:val="restart"/>
          </w:tcPr>
          <w:p w14:paraId="0C67A40E" w14:textId="77777777" w:rsidR="006E5C03" w:rsidRPr="00EF1D58" w:rsidRDefault="006E5C03" w:rsidP="002E184D">
            <w:pPr>
              <w:jc w:val="center"/>
              <w:rPr>
                <w:rFonts w:ascii="Dax-Regular" w:hAnsi="Dax-Regular"/>
                <w:b/>
              </w:rPr>
            </w:pPr>
          </w:p>
          <w:p w14:paraId="7F0D7730" w14:textId="77777777" w:rsidR="006E5C03" w:rsidRPr="00EF1D58" w:rsidRDefault="006E5C03" w:rsidP="002E184D">
            <w:pPr>
              <w:jc w:val="center"/>
              <w:rPr>
                <w:rFonts w:ascii="Dax-Regular" w:hAnsi="Dax-Regular"/>
                <w:b/>
              </w:rPr>
            </w:pPr>
            <w:r w:rsidRPr="00EF1D58">
              <w:rPr>
                <w:rFonts w:ascii="Dax-Regular" w:hAnsi="Dax-Regular"/>
                <w:b/>
              </w:rPr>
              <w:t>Catégories</w:t>
            </w:r>
          </w:p>
        </w:tc>
        <w:tc>
          <w:tcPr>
            <w:tcW w:w="1879" w:type="dxa"/>
            <w:vMerge w:val="restart"/>
          </w:tcPr>
          <w:p w14:paraId="42A25EEE" w14:textId="77777777" w:rsidR="006E5C03" w:rsidRPr="00EF1D58" w:rsidRDefault="006E5C03" w:rsidP="002E184D">
            <w:pPr>
              <w:jc w:val="center"/>
              <w:rPr>
                <w:rFonts w:ascii="Dax-Regular" w:hAnsi="Dax-Regular"/>
                <w:b/>
              </w:rPr>
            </w:pPr>
          </w:p>
          <w:p w14:paraId="6A2098EA" w14:textId="77777777" w:rsidR="006E5C03" w:rsidRPr="00EF1D58" w:rsidRDefault="006E5C03" w:rsidP="002E184D">
            <w:pPr>
              <w:jc w:val="center"/>
              <w:rPr>
                <w:rFonts w:ascii="Dax-Regular" w:hAnsi="Dax-Regular"/>
                <w:b/>
              </w:rPr>
            </w:pPr>
            <w:r w:rsidRPr="00EF1D58">
              <w:rPr>
                <w:rFonts w:ascii="Dax-Regular" w:hAnsi="Dax-Regular"/>
                <w:b/>
              </w:rPr>
              <w:t>Longueur MAXI</w:t>
            </w:r>
          </w:p>
        </w:tc>
        <w:tc>
          <w:tcPr>
            <w:tcW w:w="2226" w:type="dxa"/>
            <w:vMerge w:val="restart"/>
          </w:tcPr>
          <w:p w14:paraId="7F973BA5" w14:textId="77777777" w:rsidR="006E5C03" w:rsidRPr="00EF1D58" w:rsidRDefault="006E5C03" w:rsidP="002E184D">
            <w:pPr>
              <w:jc w:val="center"/>
              <w:rPr>
                <w:rFonts w:ascii="Dax-Regular" w:hAnsi="Dax-Regular"/>
                <w:b/>
              </w:rPr>
            </w:pPr>
          </w:p>
          <w:p w14:paraId="67D825B2" w14:textId="77777777" w:rsidR="006E5C03" w:rsidRPr="00EF1D58" w:rsidRDefault="006E5C03" w:rsidP="006E5C03">
            <w:pPr>
              <w:jc w:val="center"/>
              <w:rPr>
                <w:rFonts w:ascii="Dax-Regular" w:hAnsi="Dax-Regular"/>
                <w:b/>
              </w:rPr>
            </w:pPr>
            <w:r w:rsidRPr="00EF1D58">
              <w:rPr>
                <w:rFonts w:ascii="Dax-Regular" w:hAnsi="Dax-Regular"/>
                <w:b/>
              </w:rPr>
              <w:t>Largeur MAXI</w:t>
            </w:r>
          </w:p>
        </w:tc>
        <w:tc>
          <w:tcPr>
            <w:tcW w:w="3062" w:type="dxa"/>
            <w:vMerge w:val="restart"/>
          </w:tcPr>
          <w:p w14:paraId="6A2B0823" w14:textId="77777777" w:rsidR="006E5C03" w:rsidRPr="00EF1D58" w:rsidRDefault="006E5C03" w:rsidP="00EF1D58">
            <w:pPr>
              <w:jc w:val="center"/>
              <w:rPr>
                <w:rFonts w:ascii="Dax-Regular" w:hAnsi="Dax-Regular"/>
                <w:b/>
              </w:rPr>
            </w:pPr>
          </w:p>
          <w:p w14:paraId="0FE404D4" w14:textId="77777777" w:rsidR="006E5C03" w:rsidRPr="00EF1D58" w:rsidRDefault="006E5C03" w:rsidP="00EF1D58">
            <w:pPr>
              <w:jc w:val="center"/>
              <w:rPr>
                <w:rFonts w:ascii="Dax-Regular" w:hAnsi="Dax-Regular"/>
                <w:b/>
              </w:rPr>
            </w:pPr>
            <w:r w:rsidRPr="00EF1D58">
              <w:rPr>
                <w:rFonts w:ascii="Dax-Regular" w:hAnsi="Dax-Regular"/>
                <w:b/>
              </w:rPr>
              <w:t>REDEVANCE ANNUELLE TTC (</w:t>
            </w:r>
            <w:r w:rsidRPr="00EF1D58">
              <w:rPr>
                <w:rFonts w:ascii="Times New Roman" w:hAnsi="Times New Roman" w:cs="Times New Roman"/>
                <w:b/>
              </w:rPr>
              <w:t>€</w:t>
            </w:r>
            <w:r w:rsidRPr="00EF1D58">
              <w:rPr>
                <w:rFonts w:ascii="Dax-Regular" w:hAnsi="Dax-Regular"/>
                <w:b/>
              </w:rPr>
              <w:t>)</w:t>
            </w:r>
          </w:p>
        </w:tc>
      </w:tr>
      <w:tr w:rsidR="006E5C03" w:rsidRPr="00EF1D58" w14:paraId="52EF3EFE" w14:textId="77777777" w:rsidTr="006E5C03">
        <w:trPr>
          <w:trHeight w:val="269"/>
        </w:trPr>
        <w:tc>
          <w:tcPr>
            <w:tcW w:w="1474" w:type="dxa"/>
            <w:vMerge/>
          </w:tcPr>
          <w:p w14:paraId="61E1662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1879" w:type="dxa"/>
            <w:vMerge/>
          </w:tcPr>
          <w:p w14:paraId="1F1809EF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2226" w:type="dxa"/>
            <w:vMerge/>
          </w:tcPr>
          <w:p w14:paraId="7841D8A8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3062" w:type="dxa"/>
            <w:vMerge/>
          </w:tcPr>
          <w:p w14:paraId="1121A623" w14:textId="77777777" w:rsidR="006E5C03" w:rsidRPr="00EF1D58" w:rsidRDefault="006E5C03" w:rsidP="00EF1D58">
            <w:pPr>
              <w:jc w:val="center"/>
              <w:rPr>
                <w:rFonts w:ascii="Dax-Regular" w:hAnsi="Dax-Regular"/>
              </w:rPr>
            </w:pPr>
          </w:p>
        </w:tc>
      </w:tr>
      <w:tr w:rsidR="006E5C03" w:rsidRPr="00EF1D58" w14:paraId="63E82FDD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3F506B8B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A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B3A8219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Moins de 5 m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5E9DC150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2.00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650DF7CC" w14:textId="416F4F39" w:rsidR="00EF1D58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 w:rsidRPr="00EF1D58">
              <w:rPr>
                <w:rFonts w:ascii="Dax-Regular" w:hAnsi="Dax-Regular"/>
                <w:b/>
              </w:rPr>
              <w:t>1</w:t>
            </w:r>
            <w:r>
              <w:rPr>
                <w:rFonts w:ascii="Dax-Regular" w:hAnsi="Dax-Regular"/>
                <w:b/>
              </w:rPr>
              <w:t xml:space="preserve"> </w:t>
            </w:r>
            <w:r w:rsidRPr="00EF1D58">
              <w:rPr>
                <w:rFonts w:ascii="Dax-Regular" w:hAnsi="Dax-Regular"/>
                <w:b/>
              </w:rPr>
              <w:t>3</w:t>
            </w:r>
            <w:r w:rsidR="004D4AB7">
              <w:rPr>
                <w:rFonts w:ascii="Dax-Regular" w:hAnsi="Dax-Regular"/>
                <w:b/>
              </w:rPr>
              <w:t>93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2B9591D6" w14:textId="77777777" w:rsidTr="006E5C03">
        <w:tc>
          <w:tcPr>
            <w:tcW w:w="1474" w:type="dxa"/>
          </w:tcPr>
          <w:p w14:paraId="5D811A8F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B</w:t>
            </w:r>
          </w:p>
        </w:tc>
        <w:tc>
          <w:tcPr>
            <w:tcW w:w="1879" w:type="dxa"/>
          </w:tcPr>
          <w:p w14:paraId="3CE4C1A8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5 à 5.99</w:t>
            </w:r>
          </w:p>
        </w:tc>
        <w:tc>
          <w:tcPr>
            <w:tcW w:w="2226" w:type="dxa"/>
          </w:tcPr>
          <w:p w14:paraId="2EE61E7A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2.30</w:t>
            </w:r>
          </w:p>
        </w:tc>
        <w:tc>
          <w:tcPr>
            <w:tcW w:w="3062" w:type="dxa"/>
          </w:tcPr>
          <w:p w14:paraId="4D2BFCFF" w14:textId="22B739DA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1 5</w:t>
            </w:r>
            <w:r w:rsidR="004D4AB7">
              <w:rPr>
                <w:rFonts w:ascii="Dax-Regular" w:hAnsi="Dax-Regular"/>
                <w:b/>
              </w:rPr>
              <w:t>70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42000D0D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2408985C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C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78C9BE30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 à 6.99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6E921D30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2.60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7676AE0D" w14:textId="37F3AEA9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2 </w:t>
            </w:r>
            <w:r w:rsidR="004D4AB7">
              <w:rPr>
                <w:rFonts w:ascii="Dax-Regular" w:hAnsi="Dax-Regular"/>
                <w:b/>
              </w:rPr>
              <w:t>1</w:t>
            </w:r>
            <w:r>
              <w:rPr>
                <w:rFonts w:ascii="Dax-Regular" w:hAnsi="Dax-Regular"/>
                <w:b/>
              </w:rPr>
              <w:t>9</w:t>
            </w:r>
            <w:r w:rsidR="004D4AB7">
              <w:rPr>
                <w:rFonts w:ascii="Dax-Regular" w:hAnsi="Dax-Regular"/>
                <w:b/>
              </w:rPr>
              <w:t>5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65AD8296" w14:textId="77777777" w:rsidTr="006E5C03">
        <w:tc>
          <w:tcPr>
            <w:tcW w:w="1474" w:type="dxa"/>
          </w:tcPr>
          <w:p w14:paraId="17018DF5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D</w:t>
            </w:r>
          </w:p>
        </w:tc>
        <w:tc>
          <w:tcPr>
            <w:tcW w:w="1879" w:type="dxa"/>
          </w:tcPr>
          <w:p w14:paraId="31AFA880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7 à 7.99</w:t>
            </w:r>
          </w:p>
        </w:tc>
        <w:tc>
          <w:tcPr>
            <w:tcW w:w="2226" w:type="dxa"/>
          </w:tcPr>
          <w:p w14:paraId="3AE00EB1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2.80</w:t>
            </w:r>
          </w:p>
        </w:tc>
        <w:tc>
          <w:tcPr>
            <w:tcW w:w="3062" w:type="dxa"/>
          </w:tcPr>
          <w:p w14:paraId="40A06E1F" w14:textId="01D8F4E1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2 </w:t>
            </w:r>
            <w:r w:rsidR="004D4AB7">
              <w:rPr>
                <w:rFonts w:ascii="Dax-Regular" w:hAnsi="Dax-Regular"/>
                <w:b/>
              </w:rPr>
              <w:t>865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7A83813B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4C77A0D7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E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2462249C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8 à 8.99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6423399B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3.10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3665CD58" w14:textId="5801BF56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3 </w:t>
            </w:r>
            <w:r w:rsidR="004D4AB7">
              <w:rPr>
                <w:rFonts w:ascii="Dax-Regular" w:hAnsi="Dax-Regular"/>
                <w:b/>
              </w:rPr>
              <w:t>477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67C6E5CF" w14:textId="77777777" w:rsidTr="006E5C03">
        <w:tc>
          <w:tcPr>
            <w:tcW w:w="1474" w:type="dxa"/>
          </w:tcPr>
          <w:p w14:paraId="2201B397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F</w:t>
            </w:r>
          </w:p>
        </w:tc>
        <w:tc>
          <w:tcPr>
            <w:tcW w:w="1879" w:type="dxa"/>
          </w:tcPr>
          <w:p w14:paraId="365364C6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9 à 9.99</w:t>
            </w:r>
          </w:p>
        </w:tc>
        <w:tc>
          <w:tcPr>
            <w:tcW w:w="2226" w:type="dxa"/>
          </w:tcPr>
          <w:p w14:paraId="384DCD4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3.40</w:t>
            </w:r>
          </w:p>
        </w:tc>
        <w:tc>
          <w:tcPr>
            <w:tcW w:w="3062" w:type="dxa"/>
          </w:tcPr>
          <w:p w14:paraId="1BC821D7" w14:textId="4726BB3C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3 </w:t>
            </w:r>
            <w:r w:rsidR="004D4AB7">
              <w:rPr>
                <w:rFonts w:ascii="Dax-Regular" w:hAnsi="Dax-Regular"/>
                <w:b/>
              </w:rPr>
              <w:t>930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76CD078E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546B1296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G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2AB4DCE9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10 à 10.99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778B9701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3.70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412D02B1" w14:textId="730D11DD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4 </w:t>
            </w:r>
            <w:r w:rsidR="004D4AB7">
              <w:rPr>
                <w:rFonts w:ascii="Dax-Regular" w:hAnsi="Dax-Regular"/>
                <w:b/>
              </w:rPr>
              <w:t>671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446F6804" w14:textId="77777777" w:rsidTr="006E5C03">
        <w:tc>
          <w:tcPr>
            <w:tcW w:w="1474" w:type="dxa"/>
          </w:tcPr>
          <w:p w14:paraId="32A7C8D3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H</w:t>
            </w:r>
          </w:p>
        </w:tc>
        <w:tc>
          <w:tcPr>
            <w:tcW w:w="1879" w:type="dxa"/>
          </w:tcPr>
          <w:p w14:paraId="69D01267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11 à 11.99</w:t>
            </w:r>
          </w:p>
        </w:tc>
        <w:tc>
          <w:tcPr>
            <w:tcW w:w="2226" w:type="dxa"/>
          </w:tcPr>
          <w:p w14:paraId="6E5EEBC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4.00</w:t>
            </w:r>
          </w:p>
        </w:tc>
        <w:tc>
          <w:tcPr>
            <w:tcW w:w="3062" w:type="dxa"/>
          </w:tcPr>
          <w:p w14:paraId="4A87525C" w14:textId="5464932C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5 </w:t>
            </w:r>
            <w:r w:rsidR="004D4AB7">
              <w:rPr>
                <w:rFonts w:ascii="Dax-Regular" w:hAnsi="Dax-Regular"/>
                <w:b/>
              </w:rPr>
              <w:t>32</w:t>
            </w:r>
            <w:r>
              <w:rPr>
                <w:rFonts w:ascii="Dax-Regular" w:hAnsi="Dax-Regular"/>
                <w:b/>
              </w:rPr>
              <w:t>0,00</w:t>
            </w:r>
          </w:p>
        </w:tc>
      </w:tr>
      <w:tr w:rsidR="006E5C03" w:rsidRPr="00EF1D58" w14:paraId="090E29BD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00F63E1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I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1B7D923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12 à 12.99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0511C7B8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4.30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16279F12" w14:textId="3A1834FC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5 </w:t>
            </w:r>
            <w:r w:rsidR="004D4AB7">
              <w:rPr>
                <w:rFonts w:ascii="Dax-Regular" w:hAnsi="Dax-Regular"/>
                <w:b/>
              </w:rPr>
              <w:t>726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025306C4" w14:textId="77777777" w:rsidTr="006E5C03">
        <w:tc>
          <w:tcPr>
            <w:tcW w:w="1474" w:type="dxa"/>
          </w:tcPr>
          <w:p w14:paraId="7F63FADE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J</w:t>
            </w:r>
          </w:p>
        </w:tc>
        <w:tc>
          <w:tcPr>
            <w:tcW w:w="1879" w:type="dxa"/>
          </w:tcPr>
          <w:p w14:paraId="399C143B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13 à 13.99</w:t>
            </w:r>
          </w:p>
        </w:tc>
        <w:tc>
          <w:tcPr>
            <w:tcW w:w="2226" w:type="dxa"/>
          </w:tcPr>
          <w:p w14:paraId="33C0DF65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4.60</w:t>
            </w:r>
          </w:p>
        </w:tc>
        <w:tc>
          <w:tcPr>
            <w:tcW w:w="3062" w:type="dxa"/>
          </w:tcPr>
          <w:p w14:paraId="0946F5DE" w14:textId="1C129DBE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6 4</w:t>
            </w:r>
            <w:r w:rsidR="004D4AB7">
              <w:rPr>
                <w:rFonts w:ascii="Dax-Regular" w:hAnsi="Dax-Regular"/>
                <w:b/>
              </w:rPr>
              <w:t>53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1E04A50A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46373AC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K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4FD60F1A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14 à 14.99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620E3521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4.75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56192747" w14:textId="268F6C73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6 </w:t>
            </w:r>
            <w:r w:rsidR="004D4AB7">
              <w:rPr>
                <w:rFonts w:ascii="Dax-Regular" w:hAnsi="Dax-Regular"/>
                <w:b/>
              </w:rPr>
              <w:t>8</w:t>
            </w:r>
            <w:r>
              <w:rPr>
                <w:rFonts w:ascii="Dax-Regular" w:hAnsi="Dax-Regular"/>
                <w:b/>
              </w:rPr>
              <w:t>3</w:t>
            </w:r>
            <w:r w:rsidR="004D4AB7">
              <w:rPr>
                <w:rFonts w:ascii="Dax-Regular" w:hAnsi="Dax-Regular"/>
                <w:b/>
              </w:rPr>
              <w:t>9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40727F79" w14:textId="77777777" w:rsidTr="006E5C03">
        <w:tc>
          <w:tcPr>
            <w:tcW w:w="1474" w:type="dxa"/>
          </w:tcPr>
          <w:p w14:paraId="333C26BB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L</w:t>
            </w:r>
          </w:p>
        </w:tc>
        <w:tc>
          <w:tcPr>
            <w:tcW w:w="1879" w:type="dxa"/>
          </w:tcPr>
          <w:p w14:paraId="25A6B35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15 à 15.99</w:t>
            </w:r>
          </w:p>
        </w:tc>
        <w:tc>
          <w:tcPr>
            <w:tcW w:w="2226" w:type="dxa"/>
          </w:tcPr>
          <w:p w14:paraId="073A0D09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4.90</w:t>
            </w:r>
          </w:p>
        </w:tc>
        <w:tc>
          <w:tcPr>
            <w:tcW w:w="3062" w:type="dxa"/>
          </w:tcPr>
          <w:p w14:paraId="5912C73E" w14:textId="7B719EC3" w:rsidR="006E5C03" w:rsidRPr="00EF1D58" w:rsidRDefault="004D4AB7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7</w:t>
            </w:r>
            <w:r w:rsidR="00EF1D58">
              <w:rPr>
                <w:rFonts w:ascii="Dax-Regular" w:hAnsi="Dax-Regular"/>
                <w:b/>
              </w:rPr>
              <w:t> </w:t>
            </w:r>
            <w:r>
              <w:rPr>
                <w:rFonts w:ascii="Dax-Regular" w:hAnsi="Dax-Regular"/>
                <w:b/>
              </w:rPr>
              <w:t>1</w:t>
            </w:r>
            <w:r w:rsidR="00EF1D58">
              <w:rPr>
                <w:rFonts w:ascii="Dax-Regular" w:hAnsi="Dax-Regular"/>
                <w:b/>
              </w:rPr>
              <w:t>2</w:t>
            </w:r>
            <w:r>
              <w:rPr>
                <w:rFonts w:ascii="Dax-Regular" w:hAnsi="Dax-Regular"/>
                <w:b/>
              </w:rPr>
              <w:t>1</w:t>
            </w:r>
            <w:r w:rsidR="00EF1D58"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2D306ADC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039118A8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M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706B946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16 à 16.99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6A286C02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5.00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2BC48509" w14:textId="4A39C2C0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7 </w:t>
            </w:r>
            <w:r w:rsidR="004D4AB7">
              <w:rPr>
                <w:rFonts w:ascii="Dax-Regular" w:hAnsi="Dax-Regular"/>
                <w:b/>
              </w:rPr>
              <w:t>399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6CB4BF9A" w14:textId="77777777" w:rsidTr="006E5C03">
        <w:tc>
          <w:tcPr>
            <w:tcW w:w="1474" w:type="dxa"/>
          </w:tcPr>
          <w:p w14:paraId="3580436D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N</w:t>
            </w:r>
          </w:p>
        </w:tc>
        <w:tc>
          <w:tcPr>
            <w:tcW w:w="1879" w:type="dxa"/>
          </w:tcPr>
          <w:p w14:paraId="14A78DB5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17 à 17.99</w:t>
            </w:r>
          </w:p>
        </w:tc>
        <w:tc>
          <w:tcPr>
            <w:tcW w:w="2226" w:type="dxa"/>
          </w:tcPr>
          <w:p w14:paraId="7AF41BD0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5.20</w:t>
            </w:r>
          </w:p>
        </w:tc>
        <w:tc>
          <w:tcPr>
            <w:tcW w:w="3062" w:type="dxa"/>
          </w:tcPr>
          <w:p w14:paraId="01DBEA36" w14:textId="012E2086" w:rsidR="006E5C03" w:rsidRPr="00EF1D58" w:rsidRDefault="004D4AB7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8</w:t>
            </w:r>
            <w:r w:rsidR="00EF1D58">
              <w:rPr>
                <w:rFonts w:ascii="Dax-Regular" w:hAnsi="Dax-Regular"/>
                <w:b/>
              </w:rPr>
              <w:t> </w:t>
            </w:r>
            <w:r>
              <w:rPr>
                <w:rFonts w:ascii="Dax-Regular" w:hAnsi="Dax-Regular"/>
                <w:b/>
              </w:rPr>
              <w:t>311</w:t>
            </w:r>
            <w:r w:rsidR="00EF1D58"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43DB5168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6D277AAB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O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1E99EF7A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18 à 18.99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1284F0D1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6.00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11173F12" w14:textId="3CFDA875" w:rsidR="006E5C03" w:rsidRPr="00EF1D58" w:rsidRDefault="004D4AB7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9</w:t>
            </w:r>
            <w:r w:rsidR="00EF1D58">
              <w:rPr>
                <w:rFonts w:ascii="Dax-Regular" w:hAnsi="Dax-Regular"/>
                <w:b/>
              </w:rPr>
              <w:t> </w:t>
            </w:r>
            <w:r>
              <w:rPr>
                <w:rFonts w:ascii="Dax-Regular" w:hAnsi="Dax-Regular"/>
                <w:b/>
              </w:rPr>
              <w:t>204</w:t>
            </w:r>
            <w:r w:rsidR="00EF1D58"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0A72C33C" w14:textId="77777777" w:rsidTr="006E5C03">
        <w:tc>
          <w:tcPr>
            <w:tcW w:w="1474" w:type="dxa"/>
          </w:tcPr>
          <w:p w14:paraId="4FCEE1A4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P</w:t>
            </w:r>
          </w:p>
        </w:tc>
        <w:tc>
          <w:tcPr>
            <w:tcW w:w="1879" w:type="dxa"/>
          </w:tcPr>
          <w:p w14:paraId="4EB328C5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19 à 19.99</w:t>
            </w:r>
          </w:p>
        </w:tc>
        <w:tc>
          <w:tcPr>
            <w:tcW w:w="2226" w:type="dxa"/>
          </w:tcPr>
          <w:p w14:paraId="4A2FDF63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6.00</w:t>
            </w:r>
          </w:p>
        </w:tc>
        <w:tc>
          <w:tcPr>
            <w:tcW w:w="3062" w:type="dxa"/>
          </w:tcPr>
          <w:p w14:paraId="2999C04B" w14:textId="3478713E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9 </w:t>
            </w:r>
            <w:r w:rsidR="004D4AB7">
              <w:rPr>
                <w:rFonts w:ascii="Dax-Regular" w:hAnsi="Dax-Regular"/>
                <w:b/>
              </w:rPr>
              <w:t>669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34B9FA2B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6FB87AEF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Q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13510E20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20 à 20.99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2797994C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6.00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7DE0D0DF" w14:textId="0F718218" w:rsidR="006E5C03" w:rsidRPr="00EF1D58" w:rsidRDefault="004D4AB7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10</w:t>
            </w:r>
            <w:r w:rsidR="00EF1D58">
              <w:rPr>
                <w:rFonts w:ascii="Dax-Regular" w:hAnsi="Dax-Regular"/>
                <w:b/>
              </w:rPr>
              <w:t> </w:t>
            </w:r>
            <w:r>
              <w:rPr>
                <w:rFonts w:ascii="Dax-Regular" w:hAnsi="Dax-Regular"/>
                <w:b/>
              </w:rPr>
              <w:t>128</w:t>
            </w:r>
            <w:r w:rsidR="00EF1D58"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0971199B" w14:textId="77777777" w:rsidTr="006E5C03">
        <w:tc>
          <w:tcPr>
            <w:tcW w:w="1474" w:type="dxa"/>
          </w:tcPr>
          <w:p w14:paraId="5DBF0089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R</w:t>
            </w:r>
          </w:p>
        </w:tc>
        <w:tc>
          <w:tcPr>
            <w:tcW w:w="1879" w:type="dxa"/>
          </w:tcPr>
          <w:p w14:paraId="03847B76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21 à 21.99</w:t>
            </w:r>
          </w:p>
        </w:tc>
        <w:tc>
          <w:tcPr>
            <w:tcW w:w="2226" w:type="dxa"/>
          </w:tcPr>
          <w:p w14:paraId="0C8122BB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6.00</w:t>
            </w:r>
          </w:p>
        </w:tc>
        <w:tc>
          <w:tcPr>
            <w:tcW w:w="3062" w:type="dxa"/>
          </w:tcPr>
          <w:p w14:paraId="511E10A3" w14:textId="5B0AAC2E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10 </w:t>
            </w:r>
            <w:r w:rsidR="004D4AB7">
              <w:rPr>
                <w:rFonts w:ascii="Dax-Regular" w:hAnsi="Dax-Regular"/>
                <w:b/>
              </w:rPr>
              <w:t>6</w:t>
            </w:r>
            <w:r>
              <w:rPr>
                <w:rFonts w:ascii="Dax-Regular" w:hAnsi="Dax-Regular"/>
                <w:b/>
              </w:rPr>
              <w:t>3</w:t>
            </w:r>
            <w:r w:rsidR="004D4AB7">
              <w:rPr>
                <w:rFonts w:ascii="Dax-Regular" w:hAnsi="Dax-Regular"/>
                <w:b/>
              </w:rPr>
              <w:t>8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7F1577DB" w14:textId="77777777" w:rsidTr="006E5C03">
        <w:tc>
          <w:tcPr>
            <w:tcW w:w="1474" w:type="dxa"/>
            <w:shd w:val="clear" w:color="auto" w:fill="DEEAF6" w:themeFill="accent1" w:themeFillTint="33"/>
          </w:tcPr>
          <w:p w14:paraId="52F0015C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S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5C710D26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22 à 22.99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781245C4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6.00</w:t>
            </w:r>
          </w:p>
        </w:tc>
        <w:tc>
          <w:tcPr>
            <w:tcW w:w="3062" w:type="dxa"/>
            <w:shd w:val="clear" w:color="auto" w:fill="DEEAF6" w:themeFill="accent1" w:themeFillTint="33"/>
          </w:tcPr>
          <w:p w14:paraId="700B5DAC" w14:textId="73792DF9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</w:t>
            </w:r>
            <w:r w:rsidR="004D4AB7">
              <w:rPr>
                <w:rFonts w:ascii="Dax-Regular" w:hAnsi="Dax-Regular"/>
                <w:b/>
              </w:rPr>
              <w:t>1</w:t>
            </w:r>
            <w:r>
              <w:rPr>
                <w:rFonts w:ascii="Dax-Regular" w:hAnsi="Dax-Regular"/>
                <w:b/>
              </w:rPr>
              <w:t> </w:t>
            </w:r>
            <w:r w:rsidR="004D4AB7">
              <w:rPr>
                <w:rFonts w:ascii="Dax-Regular" w:hAnsi="Dax-Regular"/>
                <w:b/>
              </w:rPr>
              <w:t>147</w:t>
            </w:r>
            <w:r>
              <w:rPr>
                <w:rFonts w:ascii="Dax-Regular" w:hAnsi="Dax-Regular"/>
                <w:b/>
              </w:rPr>
              <w:t>,00</w:t>
            </w:r>
          </w:p>
        </w:tc>
      </w:tr>
      <w:tr w:rsidR="006E5C03" w:rsidRPr="00EF1D58" w14:paraId="3CA3B028" w14:textId="77777777" w:rsidTr="006E5C03">
        <w:tc>
          <w:tcPr>
            <w:tcW w:w="1474" w:type="dxa"/>
          </w:tcPr>
          <w:p w14:paraId="75A40DCF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T</w:t>
            </w:r>
          </w:p>
        </w:tc>
        <w:tc>
          <w:tcPr>
            <w:tcW w:w="1879" w:type="dxa"/>
          </w:tcPr>
          <w:p w14:paraId="31B2A4C7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23 à 23.99</w:t>
            </w:r>
          </w:p>
        </w:tc>
        <w:tc>
          <w:tcPr>
            <w:tcW w:w="2226" w:type="dxa"/>
          </w:tcPr>
          <w:p w14:paraId="2D683365" w14:textId="77777777" w:rsidR="006E5C03" w:rsidRPr="00EF1D58" w:rsidRDefault="006E5C03" w:rsidP="002E184D">
            <w:pPr>
              <w:jc w:val="center"/>
              <w:rPr>
                <w:rFonts w:ascii="Dax-Regular" w:hAnsi="Dax-Regular"/>
              </w:rPr>
            </w:pPr>
            <w:r w:rsidRPr="00EF1D58">
              <w:rPr>
                <w:rFonts w:ascii="Dax-Regular" w:hAnsi="Dax-Regular"/>
              </w:rPr>
              <w:t>6.00</w:t>
            </w:r>
          </w:p>
        </w:tc>
        <w:tc>
          <w:tcPr>
            <w:tcW w:w="3062" w:type="dxa"/>
          </w:tcPr>
          <w:p w14:paraId="11888003" w14:textId="26D39D87" w:rsidR="006E5C03" w:rsidRPr="00EF1D58" w:rsidRDefault="00EF1D58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11</w:t>
            </w:r>
            <w:r w:rsidR="007E7F01">
              <w:rPr>
                <w:rFonts w:ascii="Dax-Regular" w:hAnsi="Dax-Regular"/>
                <w:b/>
              </w:rPr>
              <w:t> </w:t>
            </w:r>
            <w:r w:rsidR="004D4AB7">
              <w:rPr>
                <w:rFonts w:ascii="Dax-Regular" w:hAnsi="Dax-Regular"/>
                <w:b/>
              </w:rPr>
              <w:t>627</w:t>
            </w:r>
            <w:r w:rsidR="007E7F01">
              <w:rPr>
                <w:rFonts w:ascii="Dax-Regular" w:hAnsi="Dax-Regular"/>
                <w:b/>
              </w:rPr>
              <w:t>,00</w:t>
            </w:r>
          </w:p>
        </w:tc>
      </w:tr>
      <w:tr w:rsidR="007E7F01" w:rsidRPr="00EF1D58" w14:paraId="0EBD4AE1" w14:textId="77777777" w:rsidTr="007E7F01">
        <w:tc>
          <w:tcPr>
            <w:tcW w:w="1474" w:type="dxa"/>
            <w:shd w:val="clear" w:color="auto" w:fill="DEEAF6" w:themeFill="accent1" w:themeFillTint="33"/>
          </w:tcPr>
          <w:p w14:paraId="3923C059" w14:textId="49907C10" w:rsidR="007E7F01" w:rsidRPr="007E7F01" w:rsidRDefault="007E7F01" w:rsidP="002E184D">
            <w:pPr>
              <w:jc w:val="center"/>
              <w:rPr>
                <w:rFonts w:ascii="Dax-Regular" w:hAnsi="Dax-Regular"/>
                <w:sz w:val="18"/>
                <w:szCs w:val="18"/>
              </w:rPr>
            </w:pPr>
            <w:r w:rsidRPr="007E7F01">
              <w:rPr>
                <w:rFonts w:ascii="Dax-Regular" w:hAnsi="Dax-Regular"/>
                <w:sz w:val="18"/>
                <w:szCs w:val="18"/>
              </w:rPr>
              <w:t>Mè</w:t>
            </w:r>
            <w:r>
              <w:rPr>
                <w:rFonts w:ascii="Dax-Regular" w:hAnsi="Dax-Regular"/>
                <w:sz w:val="18"/>
                <w:szCs w:val="18"/>
              </w:rPr>
              <w:t>tre supplémentaire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2B96FB69" w14:textId="77777777" w:rsidR="007E7F01" w:rsidRPr="00EF1D58" w:rsidRDefault="007E7F01" w:rsidP="002E184D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2226" w:type="dxa"/>
            <w:shd w:val="clear" w:color="auto" w:fill="DEEAF6" w:themeFill="accent1" w:themeFillTint="33"/>
          </w:tcPr>
          <w:p w14:paraId="5A37C642" w14:textId="77777777" w:rsidR="007E7F01" w:rsidRPr="00EF1D58" w:rsidRDefault="007E7F01" w:rsidP="002E184D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3062" w:type="dxa"/>
            <w:shd w:val="clear" w:color="auto" w:fill="DEEAF6" w:themeFill="accent1" w:themeFillTint="33"/>
          </w:tcPr>
          <w:p w14:paraId="28BDA706" w14:textId="582EA6DF" w:rsidR="007E7F01" w:rsidRDefault="004D4AB7" w:rsidP="00EF1D5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503</w:t>
            </w:r>
            <w:r w:rsidR="007E7F01">
              <w:rPr>
                <w:rFonts w:ascii="Dax-Regular" w:hAnsi="Dax-Regular"/>
                <w:b/>
              </w:rPr>
              <w:t>,00</w:t>
            </w:r>
          </w:p>
        </w:tc>
      </w:tr>
    </w:tbl>
    <w:p w14:paraId="2586E8AD" w14:textId="77777777" w:rsidR="000F6719" w:rsidRPr="000F6719" w:rsidRDefault="000F6719" w:rsidP="000F6719">
      <w:pPr>
        <w:jc w:val="center"/>
        <w:rPr>
          <w:rFonts w:ascii="Dax-Regular" w:hAnsi="Dax-Regular"/>
          <w:b/>
          <w:i/>
          <w:iCs/>
          <w:sz w:val="20"/>
          <w:szCs w:val="20"/>
          <w:u w:val="single"/>
        </w:rPr>
      </w:pPr>
      <w:r w:rsidRPr="000F6719">
        <w:rPr>
          <w:rFonts w:ascii="Dax-Regular" w:hAnsi="Dax-Regular"/>
          <w:i/>
          <w:iCs/>
          <w:sz w:val="20"/>
          <w:szCs w:val="20"/>
          <w:u w:val="single"/>
        </w:rPr>
        <w:t xml:space="preserve">Cas particulier : Calcul du prix des catamarans : Longueur du bateau </w:t>
      </w:r>
      <w:r w:rsidRPr="000F6719">
        <w:rPr>
          <w:rFonts w:ascii="Dax-Regular" w:hAnsi="Dax-Regular"/>
          <w:b/>
          <w:i/>
          <w:iCs/>
          <w:sz w:val="20"/>
          <w:szCs w:val="20"/>
          <w:u w:val="single"/>
        </w:rPr>
        <w:t>+ 70 %.</w:t>
      </w:r>
    </w:p>
    <w:p w14:paraId="1B2BDE77" w14:textId="3207E3E3" w:rsidR="00135E58" w:rsidRDefault="00F22E67" w:rsidP="00F22E67">
      <w:pPr>
        <w:pStyle w:val="Paragraphedeliste"/>
        <w:numPr>
          <w:ilvl w:val="0"/>
          <w:numId w:val="15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lastRenderedPageBreak/>
        <w:t xml:space="preserve">Redevance de Stationnement et amarrage </w:t>
      </w:r>
      <w:r w:rsidR="00135E58">
        <w:rPr>
          <w:rFonts w:ascii="Dax-Regular" w:hAnsi="Dax-Regular"/>
          <w:sz w:val="24"/>
          <w:szCs w:val="24"/>
        </w:rPr>
        <w:t xml:space="preserve">– </w:t>
      </w:r>
      <w:r>
        <w:rPr>
          <w:rFonts w:ascii="Dax-Regular" w:hAnsi="Dax-Regular"/>
          <w:sz w:val="24"/>
          <w:szCs w:val="24"/>
        </w:rPr>
        <w:t xml:space="preserve">Nuitée et mensuel </w:t>
      </w:r>
    </w:p>
    <w:p w14:paraId="61535635" w14:textId="77777777" w:rsidR="00E24219" w:rsidRDefault="00E24219" w:rsidP="00E243B1">
      <w:pPr>
        <w:jc w:val="both"/>
        <w:rPr>
          <w:rFonts w:ascii="Dax-Regular" w:hAnsi="Dax-Regular"/>
          <w:sz w:val="24"/>
          <w:szCs w:val="24"/>
        </w:rPr>
      </w:pPr>
    </w:p>
    <w:tbl>
      <w:tblPr>
        <w:tblStyle w:val="Grilledutableau"/>
        <w:tblW w:w="11198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134"/>
        <w:gridCol w:w="1134"/>
        <w:gridCol w:w="1134"/>
        <w:gridCol w:w="1418"/>
        <w:gridCol w:w="1276"/>
        <w:gridCol w:w="1417"/>
        <w:gridCol w:w="1276"/>
      </w:tblGrid>
      <w:tr w:rsidR="00D87332" w14:paraId="0CDC2250" w14:textId="77777777" w:rsidTr="00D87332">
        <w:trPr>
          <w:trHeight w:val="468"/>
        </w:trPr>
        <w:tc>
          <w:tcPr>
            <w:tcW w:w="1134" w:type="dxa"/>
            <w:vMerge w:val="restart"/>
          </w:tcPr>
          <w:p w14:paraId="64D408AC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</w:p>
          <w:p w14:paraId="355DA52C" w14:textId="77777777" w:rsidR="00D87332" w:rsidRPr="00CF35FB" w:rsidRDefault="00D87332" w:rsidP="00261A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35FB">
              <w:rPr>
                <w:rFonts w:asciiTheme="majorHAnsi" w:hAnsiTheme="majorHAnsi"/>
                <w:sz w:val="20"/>
                <w:szCs w:val="20"/>
              </w:rPr>
              <w:t>Catégories</w:t>
            </w:r>
          </w:p>
        </w:tc>
        <w:tc>
          <w:tcPr>
            <w:tcW w:w="1275" w:type="dxa"/>
            <w:vMerge w:val="restart"/>
          </w:tcPr>
          <w:p w14:paraId="6496580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</w:p>
          <w:p w14:paraId="76BC1CF2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Longueur MAXI</w:t>
            </w:r>
          </w:p>
        </w:tc>
        <w:tc>
          <w:tcPr>
            <w:tcW w:w="1134" w:type="dxa"/>
            <w:vMerge w:val="restart"/>
          </w:tcPr>
          <w:p w14:paraId="29AF5B4A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</w:p>
          <w:p w14:paraId="474DE49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Largeur</w:t>
            </w:r>
          </w:p>
          <w:p w14:paraId="12479CB3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 MAXI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60532DB5" w14:textId="6B173B19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BASSE SAISON</w:t>
            </w:r>
            <w:r w:rsidRPr="00CD71A8">
              <w:rPr>
                <w:rFonts w:asciiTheme="majorHAnsi" w:hAnsiTheme="majorHAnsi"/>
              </w:rPr>
              <w:br/>
              <w:t xml:space="preserve">Du </w:t>
            </w:r>
            <w:r w:rsidR="00534B4A">
              <w:rPr>
                <w:rFonts w:asciiTheme="majorHAnsi" w:hAnsiTheme="majorHAnsi"/>
              </w:rPr>
              <w:t>1</w:t>
            </w:r>
            <w:r w:rsidR="00534B4A" w:rsidRPr="00534B4A">
              <w:rPr>
                <w:rFonts w:asciiTheme="majorHAnsi" w:hAnsiTheme="majorHAnsi"/>
                <w:vertAlign w:val="superscript"/>
              </w:rPr>
              <w:t>ER</w:t>
            </w:r>
            <w:r w:rsidRPr="00CD71A8">
              <w:rPr>
                <w:rFonts w:asciiTheme="majorHAnsi" w:hAnsiTheme="majorHAnsi"/>
              </w:rPr>
              <w:t xml:space="preserve"> </w:t>
            </w:r>
            <w:r w:rsidR="002B6E08" w:rsidRPr="00CA4ACC">
              <w:rPr>
                <w:rFonts w:asciiTheme="majorHAnsi" w:hAnsiTheme="majorHAnsi"/>
              </w:rPr>
              <w:t>novembre</w:t>
            </w:r>
            <w:r w:rsidRPr="00CD71A8">
              <w:rPr>
                <w:rFonts w:asciiTheme="majorHAnsi" w:hAnsiTheme="majorHAnsi"/>
              </w:rPr>
              <w:t xml:space="preserve"> au </w:t>
            </w:r>
            <w:r w:rsidR="00534B4A">
              <w:rPr>
                <w:rFonts w:asciiTheme="majorHAnsi" w:hAnsiTheme="majorHAnsi"/>
              </w:rPr>
              <w:t>1</w:t>
            </w:r>
            <w:r w:rsidR="00534B4A" w:rsidRPr="00534B4A">
              <w:rPr>
                <w:rFonts w:asciiTheme="majorHAnsi" w:hAnsiTheme="majorHAnsi"/>
                <w:vertAlign w:val="superscript"/>
              </w:rPr>
              <w:t>er</w:t>
            </w:r>
            <w:r w:rsidR="00534B4A">
              <w:rPr>
                <w:rFonts w:asciiTheme="majorHAnsi" w:hAnsiTheme="majorHAnsi"/>
              </w:rPr>
              <w:t xml:space="preserve"> </w:t>
            </w:r>
            <w:r w:rsidR="006021B8">
              <w:rPr>
                <w:rFonts w:asciiTheme="majorHAnsi" w:hAnsiTheme="majorHAnsi"/>
              </w:rPr>
              <w:t>mai</w:t>
            </w:r>
          </w:p>
        </w:tc>
        <w:tc>
          <w:tcPr>
            <w:tcW w:w="2694" w:type="dxa"/>
            <w:gridSpan w:val="2"/>
          </w:tcPr>
          <w:p w14:paraId="720D58CF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SAISON INTERMEDIAIRE</w:t>
            </w:r>
          </w:p>
          <w:p w14:paraId="0514F829" w14:textId="0BD1D524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Du </w:t>
            </w:r>
            <w:r w:rsidR="00534B4A">
              <w:rPr>
                <w:rFonts w:asciiTheme="majorHAnsi" w:hAnsiTheme="majorHAnsi"/>
              </w:rPr>
              <w:t>1</w:t>
            </w:r>
            <w:r w:rsidR="00534B4A" w:rsidRPr="00534B4A">
              <w:rPr>
                <w:rFonts w:asciiTheme="majorHAnsi" w:hAnsiTheme="majorHAnsi"/>
                <w:vertAlign w:val="superscript"/>
              </w:rPr>
              <w:t>er</w:t>
            </w:r>
            <w:r w:rsidR="00534B4A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 xml:space="preserve">mai au </w:t>
            </w:r>
            <w:r w:rsidR="006021B8">
              <w:rPr>
                <w:rFonts w:asciiTheme="majorHAnsi" w:hAnsiTheme="majorHAnsi"/>
              </w:rPr>
              <w:t>1</w:t>
            </w:r>
            <w:r w:rsidR="006021B8" w:rsidRPr="006021B8">
              <w:rPr>
                <w:rFonts w:asciiTheme="majorHAnsi" w:hAnsiTheme="majorHAnsi"/>
                <w:vertAlign w:val="superscript"/>
              </w:rPr>
              <w:t>er</w:t>
            </w:r>
            <w:r w:rsidR="006021B8">
              <w:rPr>
                <w:rFonts w:asciiTheme="majorHAnsi" w:hAnsiTheme="majorHAnsi"/>
              </w:rPr>
              <w:t xml:space="preserve"> </w:t>
            </w:r>
            <w:r w:rsidR="00F22E67">
              <w:rPr>
                <w:rFonts w:asciiTheme="majorHAnsi" w:hAnsiTheme="majorHAnsi"/>
              </w:rPr>
              <w:t>j</w:t>
            </w:r>
            <w:r w:rsidR="006021B8">
              <w:rPr>
                <w:rFonts w:asciiTheme="majorHAnsi" w:hAnsiTheme="majorHAnsi"/>
              </w:rPr>
              <w:t>uillet</w:t>
            </w:r>
            <w:r w:rsidRPr="00CD71A8">
              <w:rPr>
                <w:rFonts w:asciiTheme="majorHAnsi" w:hAnsiTheme="majorHAnsi"/>
              </w:rPr>
              <w:t xml:space="preserve"> et </w:t>
            </w:r>
            <w:r w:rsidRPr="00CD71A8">
              <w:rPr>
                <w:rFonts w:asciiTheme="majorHAnsi" w:hAnsiTheme="majorHAnsi"/>
              </w:rPr>
              <w:br/>
              <w:t xml:space="preserve">du </w:t>
            </w:r>
            <w:r w:rsidR="00534B4A">
              <w:rPr>
                <w:rFonts w:asciiTheme="majorHAnsi" w:hAnsiTheme="majorHAnsi"/>
              </w:rPr>
              <w:t>1</w:t>
            </w:r>
            <w:r w:rsidR="00534B4A" w:rsidRPr="00534B4A">
              <w:rPr>
                <w:rFonts w:asciiTheme="majorHAnsi" w:hAnsiTheme="majorHAnsi"/>
                <w:vertAlign w:val="superscript"/>
              </w:rPr>
              <w:t>er</w:t>
            </w:r>
            <w:r w:rsidR="00534B4A">
              <w:rPr>
                <w:rFonts w:asciiTheme="majorHAnsi" w:hAnsiTheme="majorHAnsi"/>
              </w:rPr>
              <w:t xml:space="preserve"> septembre</w:t>
            </w:r>
            <w:r w:rsidRPr="00CD71A8">
              <w:rPr>
                <w:rFonts w:asciiTheme="majorHAnsi" w:hAnsiTheme="majorHAnsi"/>
              </w:rPr>
              <w:t xml:space="preserve"> au </w:t>
            </w:r>
            <w:r w:rsidR="006021B8">
              <w:rPr>
                <w:rFonts w:asciiTheme="majorHAnsi" w:hAnsiTheme="majorHAnsi"/>
              </w:rPr>
              <w:t>1</w:t>
            </w:r>
            <w:r w:rsidR="006021B8" w:rsidRPr="006021B8">
              <w:rPr>
                <w:rFonts w:asciiTheme="majorHAnsi" w:hAnsiTheme="majorHAnsi"/>
                <w:vertAlign w:val="superscript"/>
              </w:rPr>
              <w:t>er</w:t>
            </w:r>
            <w:r w:rsidRPr="00CD71A8">
              <w:rPr>
                <w:rFonts w:asciiTheme="majorHAnsi" w:hAnsiTheme="majorHAnsi"/>
              </w:rPr>
              <w:t xml:space="preserve"> </w:t>
            </w:r>
            <w:r w:rsidR="002B6E08" w:rsidRPr="00CA4ACC">
              <w:rPr>
                <w:rFonts w:asciiTheme="majorHAnsi" w:hAnsiTheme="majorHAnsi"/>
              </w:rPr>
              <w:t>novembre</w:t>
            </w:r>
          </w:p>
        </w:tc>
        <w:tc>
          <w:tcPr>
            <w:tcW w:w="2693" w:type="dxa"/>
            <w:gridSpan w:val="2"/>
            <w:shd w:val="clear" w:color="auto" w:fill="FF0000"/>
          </w:tcPr>
          <w:p w14:paraId="1080F33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HAUTE SAISON</w:t>
            </w:r>
          </w:p>
          <w:p w14:paraId="3DFF7945" w14:textId="381F2ED8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Du 01 juillet au </w:t>
            </w:r>
            <w:r w:rsidR="006021B8">
              <w:rPr>
                <w:rFonts w:asciiTheme="majorHAnsi" w:hAnsiTheme="majorHAnsi"/>
              </w:rPr>
              <w:t>1</w:t>
            </w:r>
            <w:r w:rsidR="006021B8" w:rsidRPr="006021B8">
              <w:rPr>
                <w:rFonts w:asciiTheme="majorHAnsi" w:hAnsiTheme="majorHAnsi"/>
                <w:vertAlign w:val="superscript"/>
              </w:rPr>
              <w:t>er</w:t>
            </w:r>
            <w:r w:rsidRPr="00CD71A8">
              <w:rPr>
                <w:rFonts w:asciiTheme="majorHAnsi" w:hAnsiTheme="majorHAnsi"/>
              </w:rPr>
              <w:t xml:space="preserve"> </w:t>
            </w:r>
            <w:r w:rsidR="006021B8">
              <w:rPr>
                <w:rFonts w:asciiTheme="majorHAnsi" w:hAnsiTheme="majorHAnsi"/>
              </w:rPr>
              <w:t>septembre</w:t>
            </w:r>
          </w:p>
        </w:tc>
      </w:tr>
      <w:tr w:rsidR="00D87332" w14:paraId="7D20FC57" w14:textId="77777777" w:rsidTr="00D87332">
        <w:tc>
          <w:tcPr>
            <w:tcW w:w="1134" w:type="dxa"/>
            <w:vMerge/>
          </w:tcPr>
          <w:p w14:paraId="741D0D2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</w:tcPr>
          <w:p w14:paraId="198EBD4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14:paraId="14002F7A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62A1743" w14:textId="77777777" w:rsidR="00D87332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77CB4B2A" w14:textId="77777777" w:rsidR="00D87332" w:rsidRPr="00E97488" w:rsidRDefault="00D87332" w:rsidP="00261A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E97488">
              <w:rPr>
                <w:rFonts w:asciiTheme="majorHAnsi" w:hAnsiTheme="majorHAnsi"/>
                <w:sz w:val="20"/>
                <w:szCs w:val="20"/>
              </w:rPr>
              <w:t>De midi à midi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D0F84B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14:paraId="67624CA5" w14:textId="77777777" w:rsidR="00D87332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412347AF" w14:textId="77777777" w:rsidR="00D87332" w:rsidRPr="00E97488" w:rsidRDefault="00D87332" w:rsidP="00261A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E97488">
              <w:rPr>
                <w:rFonts w:asciiTheme="majorHAnsi" w:hAnsiTheme="majorHAnsi"/>
                <w:sz w:val="20"/>
                <w:szCs w:val="20"/>
              </w:rPr>
              <w:t>De midi à midi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181D414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417" w:type="dxa"/>
          </w:tcPr>
          <w:p w14:paraId="6CB1AC06" w14:textId="77777777" w:rsidR="00D87332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77215B3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(D</w:t>
            </w:r>
            <w:r w:rsidRPr="00E97488">
              <w:rPr>
                <w:rFonts w:asciiTheme="majorHAnsi" w:hAnsiTheme="majorHAnsi"/>
                <w:sz w:val="20"/>
                <w:szCs w:val="20"/>
              </w:rPr>
              <w:t>e midi à midi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5B4334D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</w:tr>
      <w:tr w:rsidR="00D87332" w14:paraId="249AD2AA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757DA0F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A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F95449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CD71A8">
              <w:rPr>
                <w:rFonts w:asciiTheme="majorHAnsi" w:hAnsiTheme="majorHAnsi"/>
              </w:rPr>
              <w:t xml:space="preserve"> de 5 m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C75A12F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7B56ECD" w14:textId="508B3006" w:rsidR="00485C30" w:rsidRPr="00CD71A8" w:rsidRDefault="00485C30" w:rsidP="00485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4,</w:t>
            </w:r>
            <w:r w:rsidR="002C705E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668896F" w14:textId="4ACAE702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B7EE1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36D54CB" w14:textId="68F0B0E7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B71A76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3</w:t>
            </w:r>
            <w:r w:rsidR="00B71A76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45AD80C" w14:textId="75FD9AB3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B96750">
              <w:rPr>
                <w:rFonts w:asciiTheme="majorHAnsi" w:hAnsiTheme="majorHAnsi"/>
              </w:rPr>
              <w:t>58</w:t>
            </w:r>
            <w:r>
              <w:rPr>
                <w:rFonts w:asciiTheme="majorHAnsi" w:hAnsiTheme="majorHAnsi"/>
              </w:rPr>
              <w:t>,0</w:t>
            </w:r>
            <w:r w:rsidR="00155D60">
              <w:rPr>
                <w:rFonts w:asciiTheme="majorHAnsi" w:hAnsiTheme="majorHAnsi"/>
              </w:rPr>
              <w:t>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C1F1834" w14:textId="4A5EB55B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FF0668B" w14:textId="63308E2A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555388">
              <w:rPr>
                <w:rFonts w:asciiTheme="majorHAnsi" w:hAnsiTheme="majorHAnsi"/>
              </w:rPr>
              <w:t>31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14:paraId="6E26C45F" w14:textId="77777777" w:rsidTr="00D87332">
        <w:tc>
          <w:tcPr>
            <w:tcW w:w="1134" w:type="dxa"/>
          </w:tcPr>
          <w:p w14:paraId="62909A6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B</w:t>
            </w:r>
          </w:p>
        </w:tc>
        <w:tc>
          <w:tcPr>
            <w:tcW w:w="1275" w:type="dxa"/>
          </w:tcPr>
          <w:p w14:paraId="607F2DD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 à 5.99</w:t>
            </w:r>
          </w:p>
        </w:tc>
        <w:tc>
          <w:tcPr>
            <w:tcW w:w="1134" w:type="dxa"/>
          </w:tcPr>
          <w:p w14:paraId="0A0D75B5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2.30</w:t>
            </w:r>
          </w:p>
        </w:tc>
        <w:tc>
          <w:tcPr>
            <w:tcW w:w="1134" w:type="dxa"/>
          </w:tcPr>
          <w:p w14:paraId="41695EDF" w14:textId="0E5B100B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6,</w:t>
            </w:r>
            <w:r w:rsidR="007B7EE1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02695ABF" w14:textId="40E09F6D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7B7EE1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1ECAFAAD" w14:textId="22960976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11,</w:t>
            </w:r>
            <w:r w:rsidR="00B96750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6BFF758C" w14:textId="35CF0A62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B96750">
              <w:rPr>
                <w:rFonts w:asciiTheme="majorHAnsi" w:hAnsiTheme="majorHAnsi"/>
              </w:rPr>
              <w:t>96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424D5D44" w14:textId="52DDC315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2CFFD8A4" w14:textId="652F28CA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555388">
              <w:rPr>
                <w:rFonts w:asciiTheme="majorHAnsi" w:hAnsiTheme="majorHAnsi"/>
              </w:rPr>
              <w:t>78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14:paraId="3BCC86D0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60486493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5447432D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 à 6.99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CE90524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2.60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2771038" w14:textId="3C2FC124" w:rsidR="00D87332" w:rsidRPr="00CD71A8" w:rsidRDefault="007B7EE1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485C3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</w:t>
            </w:r>
            <w:r w:rsidR="00485C30"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CB5FB86" w14:textId="7A236BA3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B7EE1">
              <w:rPr>
                <w:rFonts w:asciiTheme="majorHAnsi" w:hAnsiTheme="majorHAnsi"/>
              </w:rPr>
              <w:t>97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C7F32F2" w14:textId="1FB42F77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9675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6D26400" w14:textId="5F63C1AD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B96750">
              <w:rPr>
                <w:rFonts w:asciiTheme="majorHAnsi" w:hAnsiTheme="majorHAnsi"/>
              </w:rPr>
              <w:t>65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0533808" w14:textId="3EDF42A7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55388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3995130" w14:textId="3ADDD9C3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5388">
              <w:rPr>
                <w:rFonts w:asciiTheme="majorHAnsi" w:hAnsiTheme="majorHAnsi"/>
              </w:rPr>
              <w:t>61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14:paraId="4FE6F89B" w14:textId="77777777" w:rsidTr="00D87332">
        <w:tc>
          <w:tcPr>
            <w:tcW w:w="1134" w:type="dxa"/>
          </w:tcPr>
          <w:p w14:paraId="305CB46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D</w:t>
            </w:r>
          </w:p>
        </w:tc>
        <w:tc>
          <w:tcPr>
            <w:tcW w:w="1275" w:type="dxa"/>
          </w:tcPr>
          <w:p w14:paraId="6F80A66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 à 7.99</w:t>
            </w:r>
          </w:p>
        </w:tc>
        <w:tc>
          <w:tcPr>
            <w:tcW w:w="1134" w:type="dxa"/>
          </w:tcPr>
          <w:p w14:paraId="357CD453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2.80</w:t>
            </w:r>
          </w:p>
        </w:tc>
        <w:tc>
          <w:tcPr>
            <w:tcW w:w="1134" w:type="dxa"/>
          </w:tcPr>
          <w:p w14:paraId="10EA4767" w14:textId="269CEA0C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8,</w:t>
            </w:r>
            <w:r w:rsidR="007B7EE1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06C1E654" w14:textId="461B49EA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B7EE1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57ADE8ED" w14:textId="3F8ECE17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96750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45CD9FB8" w14:textId="529C7E3D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96750">
              <w:rPr>
                <w:rFonts w:asciiTheme="majorHAnsi" w:hAnsiTheme="majorHAnsi"/>
              </w:rPr>
              <w:t>80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7C752497" w14:textId="25FCC284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ED637B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</w:t>
            </w:r>
            <w:r w:rsidR="00ED637B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3509B163" w14:textId="02B93A88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733</w:t>
            </w:r>
            <w:r w:rsidR="00ED637B">
              <w:rPr>
                <w:rFonts w:asciiTheme="majorHAnsi" w:hAnsiTheme="majorHAnsi"/>
              </w:rPr>
              <w:t>,00</w:t>
            </w:r>
          </w:p>
        </w:tc>
      </w:tr>
      <w:tr w:rsidR="00D87332" w14:paraId="787CB9E8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6ADC43BF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E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F1FF6BE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 à 8.99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849905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3.10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9335816" w14:textId="50FD51E8" w:rsidR="00D87332" w:rsidRPr="00CD71A8" w:rsidRDefault="007B7EE1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485C3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</w:t>
            </w:r>
            <w:r w:rsidR="00485C30"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1C70ED9" w14:textId="1E8076E1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B7EE1">
              <w:rPr>
                <w:rFonts w:asciiTheme="majorHAnsi" w:hAnsiTheme="majorHAnsi"/>
              </w:rPr>
              <w:t>49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C915FEB" w14:textId="60D15D1B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B96750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,80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0197FFB" w14:textId="1F89684A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B96750">
              <w:rPr>
                <w:rFonts w:asciiTheme="majorHAnsi" w:hAnsiTheme="majorHAnsi"/>
              </w:rPr>
              <w:t>45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D4F9035" w14:textId="01C3FBCE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555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05C1ACB" w14:textId="213B5181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827</w:t>
            </w:r>
            <w:r w:rsidR="00ED637B">
              <w:rPr>
                <w:rFonts w:asciiTheme="majorHAnsi" w:hAnsiTheme="majorHAnsi"/>
              </w:rPr>
              <w:t>,00</w:t>
            </w:r>
          </w:p>
        </w:tc>
      </w:tr>
      <w:tr w:rsidR="00D87332" w14:paraId="3CB2A659" w14:textId="77777777" w:rsidTr="00D87332">
        <w:tc>
          <w:tcPr>
            <w:tcW w:w="1134" w:type="dxa"/>
          </w:tcPr>
          <w:p w14:paraId="63F4E327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F</w:t>
            </w:r>
          </w:p>
        </w:tc>
        <w:tc>
          <w:tcPr>
            <w:tcW w:w="1275" w:type="dxa"/>
          </w:tcPr>
          <w:p w14:paraId="44BB4255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 à 9.99</w:t>
            </w:r>
          </w:p>
        </w:tc>
        <w:tc>
          <w:tcPr>
            <w:tcW w:w="1134" w:type="dxa"/>
          </w:tcPr>
          <w:p w14:paraId="5EEC97AF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3.40</w:t>
            </w:r>
          </w:p>
        </w:tc>
        <w:tc>
          <w:tcPr>
            <w:tcW w:w="1134" w:type="dxa"/>
          </w:tcPr>
          <w:p w14:paraId="3584087D" w14:textId="781AD974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B7EE1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3</w:t>
            </w:r>
            <w:r w:rsidR="00155D60"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25467D2D" w14:textId="7747AC3A" w:rsidR="00D87332" w:rsidRPr="00CD71A8" w:rsidRDefault="007B7EE1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308</w:t>
            </w:r>
            <w:r w:rsidR="00485C30"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1C3CF20E" w14:textId="7E306461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B96750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691EBA3B" w14:textId="4FB7172B" w:rsidR="00B71A76" w:rsidRPr="00CD71A8" w:rsidRDefault="00B96750" w:rsidP="00B71A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709</w:t>
            </w:r>
            <w:r w:rsidR="00B71A76"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5ADB5DA5" w14:textId="1A354502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555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2CA47895" w14:textId="06916615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1 0</w:t>
            </w:r>
            <w:r w:rsidR="00555388">
              <w:rPr>
                <w:rFonts w:asciiTheme="majorHAnsi" w:hAnsiTheme="majorHAnsi"/>
              </w:rPr>
              <w:t>77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050BE09F" w14:textId="77777777" w:rsidTr="00D87332">
        <w:trPr>
          <w:trHeight w:val="306"/>
        </w:trPr>
        <w:tc>
          <w:tcPr>
            <w:tcW w:w="1134" w:type="dxa"/>
            <w:shd w:val="clear" w:color="auto" w:fill="DEEAF6" w:themeFill="accent1" w:themeFillTint="33"/>
          </w:tcPr>
          <w:p w14:paraId="2CA48358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G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3E4F86BC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 à 10.99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BF0A3E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3.70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9CBB074" w14:textId="0224DB47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B7EE1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63D1116" w14:textId="45CD5698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B96750">
              <w:rPr>
                <w:rFonts w:asciiTheme="majorHAnsi" w:hAnsiTheme="majorHAnsi"/>
              </w:rPr>
              <w:t>83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FC51C48" w14:textId="2EFA1D3D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B9675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7DAE532" w14:textId="319D09EA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B96750">
              <w:rPr>
                <w:rFonts w:asciiTheme="majorHAnsi" w:hAnsiTheme="majorHAnsi"/>
              </w:rPr>
              <w:t>80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397B6DC" w14:textId="4ED06573" w:rsidR="00D87332" w:rsidRPr="00CD71A8" w:rsidRDefault="00ED637B" w:rsidP="00ED63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5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E4EEDF7" w14:textId="1BA78E58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555388">
              <w:rPr>
                <w:rFonts w:asciiTheme="majorHAnsi" w:hAnsiTheme="majorHAnsi"/>
              </w:rPr>
              <w:t>340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1EC98DD0" w14:textId="77777777" w:rsidTr="00D87332">
        <w:tc>
          <w:tcPr>
            <w:tcW w:w="1134" w:type="dxa"/>
          </w:tcPr>
          <w:p w14:paraId="33B4D69B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H</w:t>
            </w:r>
          </w:p>
        </w:tc>
        <w:tc>
          <w:tcPr>
            <w:tcW w:w="1275" w:type="dxa"/>
          </w:tcPr>
          <w:p w14:paraId="3B99BD8B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 à 11.99</w:t>
            </w:r>
          </w:p>
        </w:tc>
        <w:tc>
          <w:tcPr>
            <w:tcW w:w="1134" w:type="dxa"/>
          </w:tcPr>
          <w:p w14:paraId="1409510B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4.00</w:t>
            </w:r>
          </w:p>
        </w:tc>
        <w:tc>
          <w:tcPr>
            <w:tcW w:w="1134" w:type="dxa"/>
          </w:tcPr>
          <w:p w14:paraId="4476DAC7" w14:textId="7B6AB793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B7EE1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1EB3DE95" w14:textId="2CD3592E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96750">
              <w:rPr>
                <w:rFonts w:asciiTheme="majorHAnsi" w:hAnsiTheme="majorHAnsi"/>
              </w:rPr>
              <w:t>60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756ECF3F" w14:textId="5DAB34AB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9675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276" w:type="dxa"/>
          </w:tcPr>
          <w:p w14:paraId="37118AEA" w14:textId="33876667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1 0</w:t>
            </w:r>
            <w:r w:rsidR="00B9675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1417" w:type="dxa"/>
          </w:tcPr>
          <w:p w14:paraId="370B038E" w14:textId="042F63C3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555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,90</w:t>
            </w:r>
          </w:p>
        </w:tc>
        <w:tc>
          <w:tcPr>
            <w:tcW w:w="1276" w:type="dxa"/>
          </w:tcPr>
          <w:p w14:paraId="3C94428A" w14:textId="4AB41D73" w:rsidR="00D87332" w:rsidRPr="00CD71A8" w:rsidRDefault="00ED637B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 xml:space="preserve"> 600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350C61E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35522AB2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I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2C3CC91B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12 à 12.99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2FBCD8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4.30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107864A" w14:textId="799F0461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C705E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2C705E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8B76FBF" w14:textId="645760EE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96750">
              <w:rPr>
                <w:rFonts w:asciiTheme="majorHAnsi" w:hAnsiTheme="majorHAnsi"/>
              </w:rPr>
              <w:t>97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046A1F7" w14:textId="2545C5AB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9675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0C0732F" w14:textId="010F6D95" w:rsidR="00D87332" w:rsidRPr="00CD71A8" w:rsidRDefault="00B71A76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B96750">
              <w:rPr>
                <w:rFonts w:asciiTheme="majorHAnsi" w:hAnsiTheme="majorHAnsi"/>
              </w:rPr>
              <w:t>142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20FAA31" w14:textId="39A6AE8B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555388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E00E4A8" w14:textId="6303EA51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555388">
              <w:rPr>
                <w:rFonts w:asciiTheme="majorHAnsi" w:hAnsiTheme="majorHAnsi"/>
              </w:rPr>
              <w:t>729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2D25490" w14:textId="77777777" w:rsidTr="00D87332">
        <w:tc>
          <w:tcPr>
            <w:tcW w:w="1134" w:type="dxa"/>
          </w:tcPr>
          <w:p w14:paraId="6CCD328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J</w:t>
            </w:r>
          </w:p>
        </w:tc>
        <w:tc>
          <w:tcPr>
            <w:tcW w:w="1275" w:type="dxa"/>
          </w:tcPr>
          <w:p w14:paraId="1717754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 à 13.99</w:t>
            </w:r>
          </w:p>
        </w:tc>
        <w:tc>
          <w:tcPr>
            <w:tcW w:w="1134" w:type="dxa"/>
          </w:tcPr>
          <w:p w14:paraId="79F9F1C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4.60</w:t>
            </w:r>
          </w:p>
        </w:tc>
        <w:tc>
          <w:tcPr>
            <w:tcW w:w="1134" w:type="dxa"/>
          </w:tcPr>
          <w:p w14:paraId="04BDAE8C" w14:textId="5B367CB1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B7EE1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7BDDF484" w14:textId="3A7A8C2F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B96750">
              <w:rPr>
                <w:rFonts w:asciiTheme="majorHAnsi" w:hAnsiTheme="majorHAnsi"/>
              </w:rPr>
              <w:t>53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0CFA6CFC" w14:textId="0EBA1789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6767E5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8</w:t>
            </w:r>
            <w:r w:rsidR="006767E5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7E33AAED" w14:textId="4A61A757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1 2</w:t>
            </w:r>
            <w:r w:rsidR="00B96750">
              <w:rPr>
                <w:rFonts w:asciiTheme="majorHAnsi" w:hAnsiTheme="majorHAnsi"/>
              </w:rPr>
              <w:t>74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1F314CD2" w14:textId="4C18A20E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555388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415CDE8B" w14:textId="5E041FB4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555388">
              <w:rPr>
                <w:rFonts w:asciiTheme="majorHAnsi" w:hAnsiTheme="majorHAnsi"/>
              </w:rPr>
              <w:t>964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5E6C14F1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7A02D886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K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5A39801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 à 14.99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AF301E3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4.75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79C4905" w14:textId="05B820DC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B7EE1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1A9F97F" w14:textId="24EB3485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614</w:t>
            </w:r>
            <w:r w:rsidR="00485C30"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D524D9" w14:textId="6ADBE39F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BF37D03" w14:textId="245AE72C" w:rsidR="006767E5" w:rsidRPr="00CD71A8" w:rsidRDefault="006767E5" w:rsidP="006767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B96750">
              <w:rPr>
                <w:rFonts w:asciiTheme="majorHAnsi" w:hAnsiTheme="majorHAnsi"/>
              </w:rPr>
              <w:t>420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70FB04F" w14:textId="24B56C61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555388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FEBA6D6" w14:textId="4238F9A4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</w:t>
            </w:r>
            <w:r w:rsidR="00555388">
              <w:rPr>
                <w:rFonts w:asciiTheme="majorHAnsi" w:hAnsiTheme="majorHAnsi"/>
              </w:rPr>
              <w:t>160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41253F3" w14:textId="77777777" w:rsidTr="00D87332">
        <w:tc>
          <w:tcPr>
            <w:tcW w:w="1134" w:type="dxa"/>
          </w:tcPr>
          <w:p w14:paraId="736C3A0A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</w:t>
            </w:r>
          </w:p>
        </w:tc>
        <w:tc>
          <w:tcPr>
            <w:tcW w:w="1275" w:type="dxa"/>
          </w:tcPr>
          <w:p w14:paraId="19FB7F55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 à 15.99</w:t>
            </w:r>
          </w:p>
        </w:tc>
        <w:tc>
          <w:tcPr>
            <w:tcW w:w="1134" w:type="dxa"/>
          </w:tcPr>
          <w:p w14:paraId="6050905B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4.90</w:t>
            </w:r>
          </w:p>
        </w:tc>
        <w:tc>
          <w:tcPr>
            <w:tcW w:w="1134" w:type="dxa"/>
          </w:tcPr>
          <w:p w14:paraId="0DBEE0E8" w14:textId="26F940FB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B7EE1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6EC6E2B2" w14:textId="71CEAC27" w:rsidR="00485C30" w:rsidRPr="00CD71A8" w:rsidRDefault="00B96750" w:rsidP="00485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711</w:t>
            </w:r>
            <w:r w:rsidR="00485C30"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5EF3AC44" w14:textId="3E1A295E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B9675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4524923B" w14:textId="0365F3FF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B96750">
              <w:rPr>
                <w:rFonts w:asciiTheme="majorHAnsi" w:hAnsiTheme="majorHAnsi"/>
              </w:rPr>
              <w:t>640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270ABFFF" w14:textId="74F3B4FC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E2777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6</w:t>
            </w:r>
            <w:r w:rsidR="00E27778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627455F4" w14:textId="459031C4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</w:t>
            </w:r>
            <w:r w:rsidR="00555388">
              <w:rPr>
                <w:rFonts w:asciiTheme="majorHAnsi" w:hAnsiTheme="majorHAnsi"/>
              </w:rPr>
              <w:t>513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79BA4D5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6E2B50BD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EC55D1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16 à 16.99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491341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1873B8F" w14:textId="55F26802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7B7EE1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C048617" w14:textId="36074C01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B96750">
              <w:rPr>
                <w:rFonts w:asciiTheme="majorHAnsi" w:hAnsiTheme="majorHAnsi"/>
              </w:rPr>
              <w:t>78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498C91E" w14:textId="3D7A5B68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  <w:r w:rsidR="006767E5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1</w:t>
            </w:r>
            <w:r w:rsidR="006767E5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468568C" w14:textId="49F268C0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B96750">
              <w:rPr>
                <w:rFonts w:asciiTheme="majorHAnsi" w:hAnsiTheme="majorHAnsi"/>
              </w:rPr>
              <w:t>803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1CCF9C0" w14:textId="6E4A4BFD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555388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F95F9C4" w14:textId="5BD4D363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</w:t>
            </w:r>
            <w:r w:rsidR="00555388">
              <w:rPr>
                <w:rFonts w:asciiTheme="majorHAnsi" w:hAnsiTheme="majorHAnsi"/>
              </w:rPr>
              <w:t>738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4027706A" w14:textId="77777777" w:rsidTr="00D87332">
        <w:tc>
          <w:tcPr>
            <w:tcW w:w="1134" w:type="dxa"/>
          </w:tcPr>
          <w:p w14:paraId="190F3495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</w:t>
            </w:r>
          </w:p>
        </w:tc>
        <w:tc>
          <w:tcPr>
            <w:tcW w:w="1275" w:type="dxa"/>
          </w:tcPr>
          <w:p w14:paraId="7760EA4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 à 17.99</w:t>
            </w:r>
          </w:p>
        </w:tc>
        <w:tc>
          <w:tcPr>
            <w:tcW w:w="1134" w:type="dxa"/>
          </w:tcPr>
          <w:p w14:paraId="5C07AD4F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5.20</w:t>
            </w:r>
          </w:p>
        </w:tc>
        <w:tc>
          <w:tcPr>
            <w:tcW w:w="1134" w:type="dxa"/>
          </w:tcPr>
          <w:p w14:paraId="2D90868B" w14:textId="5AB46396" w:rsidR="00D87332" w:rsidRPr="00CD71A8" w:rsidRDefault="00155D6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7B7EE1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1C8649FB" w14:textId="0D0CA6FB" w:rsidR="00D87332" w:rsidRPr="00CD71A8" w:rsidRDefault="00485C3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B96750">
              <w:rPr>
                <w:rFonts w:asciiTheme="majorHAnsi" w:hAnsiTheme="majorHAnsi"/>
              </w:rPr>
              <w:t>93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66D0E099" w14:textId="732A34E0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  <w:r w:rsidR="006767E5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</w:t>
            </w:r>
            <w:r w:rsidR="006767E5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7645332F" w14:textId="5233A3C2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2 051</w:t>
            </w:r>
            <w:r w:rsidR="006767E5"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57C9779A" w14:textId="00D1683E" w:rsidR="00D87332" w:rsidRPr="00CD71A8" w:rsidRDefault="00E2777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24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66FE2D94" w14:textId="3CC0CBF5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3 108</w:t>
            </w:r>
            <w:r w:rsidR="00E27778"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16A3ED99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441070B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O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45C01C8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 à 18.99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612516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7CA0D1A" w14:textId="7F8D9D33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7B7EE1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D655DE8" w14:textId="0B38C04F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925</w:t>
            </w:r>
            <w:r w:rsidR="00875BE2"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4D087B8" w14:textId="6EE37A67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B9675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EF349AE" w14:textId="616747A0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B96750">
              <w:rPr>
                <w:rFonts w:asciiTheme="majorHAnsi" w:hAnsiTheme="majorHAnsi"/>
              </w:rPr>
              <w:t xml:space="preserve"> 126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65E55A6" w14:textId="35BC9B11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555388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C08BF69" w14:textId="422D572B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</w:t>
            </w:r>
            <w:r w:rsidR="00555388">
              <w:rPr>
                <w:rFonts w:asciiTheme="majorHAnsi" w:hAnsiTheme="majorHAnsi"/>
              </w:rPr>
              <w:t>243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4D5DA893" w14:textId="77777777" w:rsidTr="00D87332">
        <w:tc>
          <w:tcPr>
            <w:tcW w:w="1134" w:type="dxa"/>
          </w:tcPr>
          <w:p w14:paraId="29DEC0E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P</w:t>
            </w:r>
          </w:p>
        </w:tc>
        <w:tc>
          <w:tcPr>
            <w:tcW w:w="1275" w:type="dxa"/>
          </w:tcPr>
          <w:p w14:paraId="619A375A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 à 19.99</w:t>
            </w:r>
          </w:p>
        </w:tc>
        <w:tc>
          <w:tcPr>
            <w:tcW w:w="1134" w:type="dxa"/>
          </w:tcPr>
          <w:p w14:paraId="744A59B3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134" w:type="dxa"/>
          </w:tcPr>
          <w:p w14:paraId="63601858" w14:textId="576A58A5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B7EE1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,40</w:t>
            </w:r>
          </w:p>
        </w:tc>
        <w:tc>
          <w:tcPr>
            <w:tcW w:w="1134" w:type="dxa"/>
          </w:tcPr>
          <w:p w14:paraId="7892CC98" w14:textId="6477E47D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C705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042</w:t>
            </w:r>
            <w:r w:rsidR="00875BE2"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32BFE140" w14:textId="5B813463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B9675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06311BCF" w14:textId="515267DC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</w:t>
            </w:r>
            <w:r w:rsidR="00B96750">
              <w:rPr>
                <w:rFonts w:asciiTheme="majorHAnsi" w:hAnsiTheme="majorHAnsi"/>
              </w:rPr>
              <w:t>391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25049996" w14:textId="189B79B6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45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3C84CA9C" w14:textId="720DED29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</w:t>
            </w:r>
            <w:r w:rsidR="00555388">
              <w:rPr>
                <w:rFonts w:asciiTheme="majorHAnsi" w:hAnsiTheme="majorHAnsi"/>
              </w:rPr>
              <w:t>641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DABCF8F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1D18EA7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Q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5FE6BF2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 à 20.99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23F12CE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8C13D0E" w14:textId="70202CC5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B7EE1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8502238" w14:textId="7033FF1A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1 1</w:t>
            </w:r>
            <w:r w:rsidR="00B96750">
              <w:rPr>
                <w:rFonts w:asciiTheme="majorHAnsi" w:hAnsiTheme="majorHAnsi"/>
              </w:rPr>
              <w:t>99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53D99E7" w14:textId="7E2C724A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74631C6" w14:textId="03C05AA8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</w:t>
            </w:r>
            <w:r w:rsidR="00555388">
              <w:rPr>
                <w:rFonts w:asciiTheme="majorHAnsi" w:hAnsiTheme="majorHAnsi"/>
              </w:rPr>
              <w:t>651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AF04043" w14:textId="46050901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60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5</w:t>
            </w:r>
            <w:r w:rsidR="00155D60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DDE212E" w14:textId="46D6063B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4 014</w:t>
            </w:r>
            <w:r w:rsidR="008810D0"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45FE34F" w14:textId="77777777" w:rsidTr="00D87332">
        <w:tc>
          <w:tcPr>
            <w:tcW w:w="1134" w:type="dxa"/>
          </w:tcPr>
          <w:p w14:paraId="33465F5E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R</w:t>
            </w:r>
          </w:p>
        </w:tc>
        <w:tc>
          <w:tcPr>
            <w:tcW w:w="1275" w:type="dxa"/>
          </w:tcPr>
          <w:p w14:paraId="2DC55864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21 à 21.99</w:t>
            </w:r>
          </w:p>
        </w:tc>
        <w:tc>
          <w:tcPr>
            <w:tcW w:w="1134" w:type="dxa"/>
          </w:tcPr>
          <w:p w14:paraId="06DCB37F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134" w:type="dxa"/>
          </w:tcPr>
          <w:p w14:paraId="5BDEC755" w14:textId="40175A65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B7EE1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0C91EA90" w14:textId="10C49387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D4AB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358</w:t>
            </w:r>
            <w:r w:rsidR="00875BE2"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54E05241" w14:textId="188864FF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3CC06D71" w14:textId="177F0945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</w:t>
            </w:r>
            <w:r w:rsidR="00555388">
              <w:rPr>
                <w:rFonts w:asciiTheme="majorHAnsi" w:hAnsiTheme="majorHAnsi"/>
              </w:rPr>
              <w:t>911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3D335C1F" w14:textId="6581334C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75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7661E374" w14:textId="679B9AA8" w:rsidR="00D87332" w:rsidRPr="00CD71A8" w:rsidRDefault="008810D0" w:rsidP="008810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555388">
              <w:rPr>
                <w:rFonts w:asciiTheme="majorHAnsi" w:hAnsiTheme="majorHAnsi"/>
              </w:rPr>
              <w:t xml:space="preserve"> 386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1BD00D1E" w14:textId="77777777" w:rsidTr="00D87332">
        <w:tc>
          <w:tcPr>
            <w:tcW w:w="1134" w:type="dxa"/>
            <w:shd w:val="clear" w:color="auto" w:fill="DEEAF6" w:themeFill="accent1" w:themeFillTint="33"/>
          </w:tcPr>
          <w:p w14:paraId="0DA02572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53C92E6D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 à 22.99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806E549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B970B9E" w14:textId="2E04892D" w:rsidR="00D87332" w:rsidRPr="00CD71A8" w:rsidRDefault="007B7EE1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  <w:r w:rsidR="00875BE2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8</w:t>
            </w:r>
            <w:r w:rsidR="00875BE2"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CA58E08" w14:textId="20946498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B96750">
              <w:rPr>
                <w:rFonts w:asciiTheme="majorHAnsi" w:hAnsiTheme="majorHAnsi"/>
              </w:rPr>
              <w:t>515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6469676" w14:textId="208F1E29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B9675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,90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D06E045" w14:textId="1CD168A6" w:rsidR="00D87332" w:rsidRPr="00CD71A8" w:rsidRDefault="006767E5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555388">
              <w:rPr>
                <w:rFonts w:asciiTheme="majorHAnsi" w:hAnsiTheme="majorHAnsi"/>
              </w:rPr>
              <w:t xml:space="preserve"> 170</w:t>
            </w:r>
            <w:r w:rsidR="00B84248"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BD681C4" w14:textId="16E8CF46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5388">
              <w:rPr>
                <w:rFonts w:asciiTheme="majorHAnsi" w:hAnsiTheme="majorHAnsi"/>
              </w:rPr>
              <w:t>90</w:t>
            </w:r>
            <w:r>
              <w:rPr>
                <w:rFonts w:asciiTheme="majorHAnsi" w:hAnsiTheme="majorHAnsi"/>
              </w:rPr>
              <w:t>,</w:t>
            </w:r>
            <w:r w:rsidR="00555388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F3D4013" w14:textId="4E47F890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4 </w:t>
            </w:r>
            <w:r w:rsidR="00555388">
              <w:rPr>
                <w:rFonts w:asciiTheme="majorHAnsi" w:hAnsiTheme="majorHAnsi"/>
              </w:rPr>
              <w:t>759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259E6368" w14:textId="77777777" w:rsidTr="00D87332">
        <w:tc>
          <w:tcPr>
            <w:tcW w:w="1134" w:type="dxa"/>
          </w:tcPr>
          <w:p w14:paraId="17940740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T</w:t>
            </w:r>
          </w:p>
        </w:tc>
        <w:tc>
          <w:tcPr>
            <w:tcW w:w="1275" w:type="dxa"/>
          </w:tcPr>
          <w:p w14:paraId="24E6E371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 à 23.99</w:t>
            </w:r>
          </w:p>
        </w:tc>
        <w:tc>
          <w:tcPr>
            <w:tcW w:w="1134" w:type="dxa"/>
          </w:tcPr>
          <w:p w14:paraId="48B01A93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134" w:type="dxa"/>
          </w:tcPr>
          <w:p w14:paraId="26F85FE8" w14:textId="169619E4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7B7EE1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</w:t>
            </w:r>
            <w:r w:rsidR="007B7EE1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</w:tcPr>
          <w:p w14:paraId="21840D57" w14:textId="3F1F5003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</w:t>
            </w:r>
            <w:r w:rsidR="00B96750">
              <w:rPr>
                <w:rFonts w:asciiTheme="majorHAnsi" w:hAnsiTheme="majorHAnsi"/>
              </w:rPr>
              <w:t>673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</w:tcPr>
          <w:p w14:paraId="62009613" w14:textId="094AE6A6" w:rsidR="00D87332" w:rsidRPr="00CD71A8" w:rsidRDefault="00B8424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B96750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,</w:t>
            </w:r>
            <w:r w:rsidR="00B96750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4B8A3E14" w14:textId="618FFACE" w:rsidR="00D87332" w:rsidRPr="00CD71A8" w:rsidRDefault="00B8424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</w:t>
            </w:r>
            <w:r w:rsidR="00555388">
              <w:rPr>
                <w:rFonts w:asciiTheme="majorHAnsi" w:hAnsiTheme="majorHAnsi"/>
              </w:rPr>
              <w:t>430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</w:tcPr>
          <w:p w14:paraId="117C63AE" w14:textId="7A75E305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205</w:t>
            </w:r>
            <w:r w:rsidR="008810D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2</w:t>
            </w:r>
            <w:r w:rsidR="008810D0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</w:tcPr>
          <w:p w14:paraId="6C08B897" w14:textId="32B536AD" w:rsidR="00D87332" w:rsidRPr="00CD71A8" w:rsidRDefault="0055538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5 130</w:t>
            </w:r>
            <w:r w:rsidR="008810D0">
              <w:rPr>
                <w:rFonts w:asciiTheme="majorHAnsi" w:hAnsiTheme="majorHAnsi"/>
              </w:rPr>
              <w:t>,00</w:t>
            </w:r>
          </w:p>
        </w:tc>
      </w:tr>
      <w:tr w:rsidR="00D87332" w:rsidRPr="00171EED" w14:paraId="533DA4B4" w14:textId="77777777" w:rsidTr="00D87332">
        <w:tc>
          <w:tcPr>
            <w:tcW w:w="3543" w:type="dxa"/>
            <w:gridSpan w:val="3"/>
            <w:shd w:val="clear" w:color="auto" w:fill="DEEAF6" w:themeFill="accent1" w:themeFillTint="33"/>
          </w:tcPr>
          <w:p w14:paraId="48584BA5" w14:textId="77777777" w:rsidR="00D87332" w:rsidRPr="00CD71A8" w:rsidRDefault="00D87332" w:rsidP="00261A47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Mètre supplémentaire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E5AE1FD" w14:textId="70F6F5DB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6,</w:t>
            </w:r>
            <w:r w:rsidR="007B7EE1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F9C9A12" w14:textId="452C910E" w:rsidR="00D87332" w:rsidRPr="00CD71A8" w:rsidRDefault="00875BE2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B96750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5CFABC9" w14:textId="0478D930" w:rsidR="00D87332" w:rsidRPr="00CD71A8" w:rsidRDefault="00B9675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B8424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4</w:t>
            </w:r>
            <w:r w:rsidR="00B84248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AFE129C" w14:textId="61038B85" w:rsidR="00D87332" w:rsidRPr="00CD71A8" w:rsidRDefault="00B84248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55388">
              <w:rPr>
                <w:rFonts w:asciiTheme="majorHAnsi" w:hAnsiTheme="majorHAnsi"/>
              </w:rPr>
              <w:t>59</w:t>
            </w:r>
            <w:r>
              <w:rPr>
                <w:rFonts w:asciiTheme="majorHAnsi" w:hAnsiTheme="majorHAnsi"/>
              </w:rPr>
              <w:t>,00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01CEDA7" w14:textId="029D801B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14,</w:t>
            </w:r>
            <w:r w:rsidR="00555388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0D5C042" w14:textId="6FAE7605" w:rsidR="00D87332" w:rsidRPr="00CD71A8" w:rsidRDefault="008810D0" w:rsidP="00261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555388">
              <w:rPr>
                <w:rFonts w:asciiTheme="majorHAnsi" w:hAnsiTheme="majorHAnsi"/>
              </w:rPr>
              <w:t>73</w:t>
            </w:r>
            <w:r>
              <w:rPr>
                <w:rFonts w:asciiTheme="majorHAnsi" w:hAnsiTheme="majorHAnsi"/>
              </w:rPr>
              <w:t>,00</w:t>
            </w:r>
          </w:p>
        </w:tc>
      </w:tr>
    </w:tbl>
    <w:p w14:paraId="7CD42C11" w14:textId="77777777" w:rsidR="00EE0FC3" w:rsidRDefault="00EE0FC3" w:rsidP="00EF1575">
      <w:pPr>
        <w:rPr>
          <w:rFonts w:ascii="Dax-Regular" w:hAnsi="Dax-Regular"/>
          <w:bCs/>
          <w:u w:val="single"/>
        </w:rPr>
      </w:pPr>
    </w:p>
    <w:p w14:paraId="31F3B646" w14:textId="14893397" w:rsidR="00762772" w:rsidRPr="00762772" w:rsidRDefault="00762772" w:rsidP="00762772">
      <w:pPr>
        <w:jc w:val="center"/>
        <w:rPr>
          <w:rFonts w:ascii="Dax-Regular" w:hAnsi="Dax-Regular"/>
          <w:b/>
          <w:bCs/>
          <w:i/>
          <w:iCs/>
        </w:rPr>
      </w:pPr>
      <w:r w:rsidRPr="00762772">
        <w:rPr>
          <w:rFonts w:ascii="Dax-Regular" w:hAnsi="Dax-Regular"/>
          <w:b/>
          <w:bCs/>
          <w:i/>
          <w:iCs/>
        </w:rPr>
        <w:t xml:space="preserve">Ce tarif de redevance de stationnement et d’amarrage sera applicable à compter du </w:t>
      </w:r>
      <w:r>
        <w:rPr>
          <w:rFonts w:ascii="Dax-Regular" w:hAnsi="Dax-Regular"/>
          <w:b/>
          <w:bCs/>
          <w:i/>
          <w:iCs/>
        </w:rPr>
        <w:t>01/01/2025</w:t>
      </w:r>
    </w:p>
    <w:p w14:paraId="7FAFFC30" w14:textId="715504FF" w:rsidR="00EE0FC3" w:rsidRPr="000F6719" w:rsidRDefault="00EE0FC3" w:rsidP="00EE0FC3">
      <w:pPr>
        <w:pStyle w:val="Paragraphedeliste"/>
        <w:numPr>
          <w:ilvl w:val="0"/>
          <w:numId w:val="1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bookmarkStart w:id="2" w:name="_Hlk181973964"/>
      <w:r w:rsidRPr="000F6719">
        <w:rPr>
          <w:rFonts w:ascii="Dax-Regular" w:hAnsi="Dax-Regular"/>
        </w:rPr>
        <w:t xml:space="preserve">Redevance taxe de Séjour </w:t>
      </w:r>
    </w:p>
    <w:bookmarkEnd w:id="2"/>
    <w:p w14:paraId="3873B03B" w14:textId="77777777" w:rsidR="00EE0FC3" w:rsidRPr="000F6719" w:rsidRDefault="00EE0FC3" w:rsidP="00EF1575">
      <w:pPr>
        <w:rPr>
          <w:rFonts w:ascii="Dax-Regular" w:hAnsi="Dax-Regular"/>
          <w:bCs/>
          <w:u w:val="single"/>
        </w:rPr>
      </w:pPr>
    </w:p>
    <w:p w14:paraId="35BF3D33" w14:textId="6E6EC5AC" w:rsidR="00EE0FC3" w:rsidRPr="000F6719" w:rsidRDefault="00EE0FC3" w:rsidP="00EE0FC3">
      <w:pPr>
        <w:rPr>
          <w:rFonts w:ascii="Dax-Regular" w:hAnsi="Dax-Regular" w:cs="Times New Roman"/>
        </w:rPr>
      </w:pPr>
      <w:r w:rsidRPr="000F6719">
        <w:rPr>
          <w:rFonts w:ascii="Dax-Regular" w:hAnsi="Dax-Regular"/>
        </w:rPr>
        <w:t xml:space="preserve">Une taxe de séjour, </w:t>
      </w:r>
      <w:r w:rsidR="005C1A46">
        <w:rPr>
          <w:rFonts w:ascii="Dax-Regular" w:hAnsi="Dax-Regular"/>
        </w:rPr>
        <w:t xml:space="preserve">fixée selon la délibération </w:t>
      </w:r>
      <w:r w:rsidR="00AF18AA">
        <w:rPr>
          <w:rFonts w:ascii="Dax-Regular" w:hAnsi="Dax-Regular"/>
        </w:rPr>
        <w:t xml:space="preserve">2024-082 </w:t>
      </w:r>
      <w:r w:rsidR="005C1A46">
        <w:rPr>
          <w:rFonts w:ascii="Dax-Regular" w:hAnsi="Dax-Regular"/>
        </w:rPr>
        <w:t>du conseil municipal du 11 juin 2024</w:t>
      </w:r>
      <w:r w:rsidR="00AF18AA">
        <w:rPr>
          <w:rFonts w:ascii="Dax-Regular" w:hAnsi="Dax-Regular"/>
        </w:rPr>
        <w:t xml:space="preserve"> </w:t>
      </w:r>
      <w:r w:rsidRPr="000F6719">
        <w:rPr>
          <w:rFonts w:ascii="Dax-Regular" w:hAnsi="Dax-Regular" w:cs="Times New Roman"/>
        </w:rPr>
        <w:t>sera perçue par personne et par jour, sur les navires de passage.</w:t>
      </w:r>
    </w:p>
    <w:p w14:paraId="285A499F" w14:textId="53EC96BD" w:rsidR="00F33A2B" w:rsidRDefault="00F33A2B">
      <w:pPr>
        <w:rPr>
          <w:rFonts w:ascii="Dax-Regular" w:hAnsi="Dax-Regular"/>
          <w:bCs/>
          <w:u w:val="single"/>
        </w:rPr>
      </w:pPr>
      <w:r>
        <w:rPr>
          <w:rFonts w:ascii="Dax-Regular" w:hAnsi="Dax-Regular"/>
          <w:bCs/>
          <w:u w:val="single"/>
        </w:rPr>
        <w:br w:type="page"/>
      </w:r>
    </w:p>
    <w:p w14:paraId="365FB417" w14:textId="77777777" w:rsidR="00EE0FC3" w:rsidRPr="000F6719" w:rsidRDefault="00EE0FC3" w:rsidP="00EF1575">
      <w:pPr>
        <w:rPr>
          <w:rFonts w:ascii="Dax-Regular" w:hAnsi="Dax-Regular"/>
          <w:bCs/>
          <w:u w:val="single"/>
        </w:rPr>
      </w:pPr>
    </w:p>
    <w:p w14:paraId="295F7E67" w14:textId="0423B44C" w:rsidR="00EE0FC3" w:rsidRPr="000F6719" w:rsidRDefault="00EE0FC3" w:rsidP="00EE0FC3">
      <w:pPr>
        <w:pStyle w:val="Paragraphedeliste"/>
        <w:numPr>
          <w:ilvl w:val="0"/>
          <w:numId w:val="15"/>
        </w:numPr>
        <w:shd w:val="clear" w:color="auto" w:fill="F7CAAC" w:themeFill="accent2" w:themeFillTint="66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 xml:space="preserve">Redevance Passagers  </w:t>
      </w:r>
    </w:p>
    <w:p w14:paraId="0ABFCF5D" w14:textId="77777777" w:rsidR="00762772" w:rsidRPr="000F6719" w:rsidRDefault="00762772" w:rsidP="00EF1575">
      <w:pPr>
        <w:rPr>
          <w:rFonts w:ascii="Dax-Regular" w:hAnsi="Dax-Regular"/>
          <w:b/>
        </w:rPr>
      </w:pPr>
    </w:p>
    <w:p w14:paraId="20FD71D3" w14:textId="0C649BF5" w:rsidR="00EF1575" w:rsidRPr="000F6719" w:rsidRDefault="00EF1575" w:rsidP="00EF1575">
      <w:pPr>
        <w:rPr>
          <w:rFonts w:ascii="Dax-Regular" w:hAnsi="Dax-Regular"/>
          <w:b/>
          <w:i/>
          <w:iCs/>
        </w:rPr>
      </w:pPr>
      <w:r w:rsidRPr="000F6719">
        <w:rPr>
          <w:rFonts w:ascii="Dax-Regular" w:hAnsi="Dax-Regular"/>
          <w:b/>
          <w:i/>
          <w:iCs/>
        </w:rPr>
        <w:t>CONDITION</w:t>
      </w:r>
      <w:r w:rsidR="00141E42" w:rsidRPr="000F6719">
        <w:rPr>
          <w:rFonts w:ascii="Dax-Regular" w:hAnsi="Dax-Regular"/>
          <w:b/>
          <w:i/>
          <w:iCs/>
        </w:rPr>
        <w:t>S</w:t>
      </w:r>
      <w:r w:rsidRPr="000F6719">
        <w:rPr>
          <w:rFonts w:ascii="Dax-Regular" w:hAnsi="Dax-Regular"/>
          <w:b/>
          <w:i/>
          <w:iCs/>
        </w:rPr>
        <w:t xml:space="preserve"> D’APPLICATION DE LA REDEVANCE SUR LES PASSAGERS, PREVUE</w:t>
      </w:r>
      <w:r w:rsidR="00141E42" w:rsidRPr="000F6719">
        <w:rPr>
          <w:rFonts w:ascii="Dax-Regular" w:hAnsi="Dax-Regular"/>
          <w:b/>
          <w:i/>
          <w:iCs/>
        </w:rPr>
        <w:t>S</w:t>
      </w:r>
      <w:r w:rsidRPr="000F6719">
        <w:rPr>
          <w:rFonts w:ascii="Dax-Regular" w:hAnsi="Dax-Regular"/>
          <w:b/>
          <w:i/>
          <w:iCs/>
        </w:rPr>
        <w:t xml:space="preserve"> AUX ARTICLES R.5321-34 à R.5321-36 DU CODE DES TRANSPORTS</w:t>
      </w:r>
    </w:p>
    <w:p w14:paraId="0311D845" w14:textId="4EFCA4DC" w:rsidR="005B12A6" w:rsidRDefault="00EF1575" w:rsidP="00EF1575">
      <w:pPr>
        <w:rPr>
          <w:rFonts w:ascii="Dax-Regular" w:hAnsi="Dax-Regular"/>
        </w:rPr>
      </w:pPr>
      <w:r w:rsidRPr="000F6719">
        <w:rPr>
          <w:rFonts w:ascii="Dax-Regular" w:hAnsi="Dax-Regular"/>
        </w:rPr>
        <w:t>Les passagers débarqués</w:t>
      </w:r>
      <w:r w:rsidR="007979FD" w:rsidRPr="000F6719">
        <w:rPr>
          <w:rFonts w:ascii="Dax-Regular" w:hAnsi="Dax-Regular"/>
        </w:rPr>
        <w:t xml:space="preserve">, </w:t>
      </w:r>
      <w:r w:rsidRPr="000F6719">
        <w:rPr>
          <w:rFonts w:ascii="Dax-Regular" w:hAnsi="Dax-Regular"/>
        </w:rPr>
        <w:t xml:space="preserve">embarqués </w:t>
      </w:r>
      <w:r w:rsidR="007979FD" w:rsidRPr="000F6719">
        <w:rPr>
          <w:rFonts w:ascii="Dax-Regular" w:hAnsi="Dax-Regular"/>
        </w:rPr>
        <w:t xml:space="preserve">ou transbordés </w:t>
      </w:r>
      <w:r w:rsidRPr="000F6719">
        <w:rPr>
          <w:rFonts w:ascii="Dax-Regular" w:hAnsi="Dax-Regular"/>
        </w:rPr>
        <w:t>sont soumis à une redevance par passage de :</w:t>
      </w:r>
    </w:p>
    <w:p w14:paraId="08388ACD" w14:textId="77777777" w:rsidR="000F6719" w:rsidRPr="000F6719" w:rsidRDefault="000F6719" w:rsidP="00EF1575">
      <w:pPr>
        <w:rPr>
          <w:rFonts w:ascii="Dax-Regular" w:hAnsi="Dax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696"/>
      </w:tblGrid>
      <w:tr w:rsidR="00141E42" w14:paraId="0C5FE18E" w14:textId="77777777" w:rsidTr="00423C04">
        <w:tc>
          <w:tcPr>
            <w:tcW w:w="5665" w:type="dxa"/>
            <w:shd w:val="clear" w:color="auto" w:fill="DEEAF6" w:themeFill="accent1" w:themeFillTint="33"/>
          </w:tcPr>
          <w:p w14:paraId="3F5C48F0" w14:textId="77777777" w:rsidR="00141E42" w:rsidRPr="00423C04" w:rsidRDefault="00141E42" w:rsidP="00686D24">
            <w:pPr>
              <w:jc w:val="center"/>
              <w:rPr>
                <w:rFonts w:ascii="Dax-Regular" w:hAnsi="Dax-Regular"/>
              </w:rPr>
            </w:pPr>
          </w:p>
          <w:p w14:paraId="704E9029" w14:textId="77777777" w:rsidR="00141E42" w:rsidRDefault="00141E42" w:rsidP="00686D24">
            <w:pPr>
              <w:jc w:val="center"/>
              <w:rPr>
                <w:rFonts w:ascii="Dax-Regular" w:hAnsi="Dax-Regular"/>
              </w:rPr>
            </w:pPr>
            <w:r w:rsidRPr="00423C04">
              <w:rPr>
                <w:rFonts w:ascii="Dax-Regular" w:hAnsi="Dax-Regular"/>
              </w:rPr>
              <w:t>TYPE DE PASSAGER</w:t>
            </w:r>
          </w:p>
          <w:p w14:paraId="422ABC68" w14:textId="7AE39F0D" w:rsidR="00141E42" w:rsidRPr="00423C04" w:rsidRDefault="00141E42" w:rsidP="00686D24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1696" w:type="dxa"/>
            <w:shd w:val="clear" w:color="auto" w:fill="DEEAF6" w:themeFill="accent1" w:themeFillTint="33"/>
          </w:tcPr>
          <w:p w14:paraId="4647ADF6" w14:textId="77777777" w:rsidR="00141E42" w:rsidRPr="00423C04" w:rsidRDefault="00141E42" w:rsidP="00423C04">
            <w:pPr>
              <w:jc w:val="center"/>
              <w:rPr>
                <w:rFonts w:ascii="Dax-Regular" w:hAnsi="Dax-Regular"/>
                <w:b/>
              </w:rPr>
            </w:pPr>
          </w:p>
          <w:p w14:paraId="70807D9D" w14:textId="2134FA54" w:rsidR="00141E42" w:rsidRPr="00141E42" w:rsidRDefault="00141E42" w:rsidP="00423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C04">
              <w:rPr>
                <w:rFonts w:ascii="Dax-Regular" w:hAnsi="Dax-Regular"/>
                <w:b/>
              </w:rPr>
              <w:t>Tarif TTC</w:t>
            </w:r>
            <w:r>
              <w:rPr>
                <w:rFonts w:ascii="Dax-Regular" w:hAnsi="Dax-Regular"/>
                <w:b/>
              </w:rPr>
              <w:t xml:space="preserve"> en </w:t>
            </w: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141E42" w14:paraId="3E13441E" w14:textId="77777777" w:rsidTr="00423C04">
        <w:tc>
          <w:tcPr>
            <w:tcW w:w="5665" w:type="dxa"/>
          </w:tcPr>
          <w:p w14:paraId="5266E3D2" w14:textId="77777777" w:rsidR="00141E42" w:rsidRPr="00423C04" w:rsidRDefault="00141E42" w:rsidP="00EF1575">
            <w:pPr>
              <w:rPr>
                <w:rFonts w:ascii="Dax-Regular" w:hAnsi="Dax-Regular"/>
              </w:rPr>
            </w:pPr>
          </w:p>
          <w:p w14:paraId="46B83A50" w14:textId="77777777" w:rsidR="00141E42" w:rsidRDefault="00141E42" w:rsidP="00EF1575">
            <w:pPr>
              <w:rPr>
                <w:rFonts w:ascii="Dax-Regular" w:hAnsi="Dax-Regular"/>
              </w:rPr>
            </w:pPr>
            <w:r w:rsidRPr="00423C04">
              <w:rPr>
                <w:rFonts w:ascii="Dax-Regular" w:hAnsi="Dax-Regular"/>
              </w:rPr>
              <w:t>Passager navire de commerce</w:t>
            </w:r>
          </w:p>
          <w:p w14:paraId="5849007E" w14:textId="1EAB314C" w:rsidR="00141E42" w:rsidRPr="00423C04" w:rsidRDefault="00141E42" w:rsidP="00EF1575">
            <w:pPr>
              <w:rPr>
                <w:rFonts w:ascii="Dax-Regular" w:hAnsi="Dax-Regular"/>
              </w:rPr>
            </w:pPr>
          </w:p>
        </w:tc>
        <w:tc>
          <w:tcPr>
            <w:tcW w:w="1696" w:type="dxa"/>
          </w:tcPr>
          <w:p w14:paraId="46E99E38" w14:textId="77777777" w:rsidR="00141E42" w:rsidRPr="00423C04" w:rsidRDefault="00141E42" w:rsidP="00423C04">
            <w:pPr>
              <w:jc w:val="center"/>
              <w:rPr>
                <w:rFonts w:ascii="Dax-Regular" w:hAnsi="Dax-Regular"/>
                <w:b/>
              </w:rPr>
            </w:pPr>
          </w:p>
          <w:p w14:paraId="62FA797B" w14:textId="6C1A7B64" w:rsidR="005D46CB" w:rsidRPr="00423C04" w:rsidRDefault="004D4AB7" w:rsidP="00CA4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Dax-Regular" w:hAnsi="Dax-Regular"/>
                <w:b/>
              </w:rPr>
              <w:t>0,90</w:t>
            </w:r>
          </w:p>
        </w:tc>
      </w:tr>
    </w:tbl>
    <w:p w14:paraId="3CC122FB" w14:textId="77777777" w:rsidR="005B12A6" w:rsidRPr="000F6719" w:rsidRDefault="005B12A6" w:rsidP="00EF1575">
      <w:pPr>
        <w:rPr>
          <w:rFonts w:ascii="Dax-Regular" w:hAnsi="Dax-Regular"/>
        </w:rPr>
      </w:pPr>
    </w:p>
    <w:p w14:paraId="28046584" w14:textId="65F9D72F" w:rsidR="00EF1575" w:rsidRPr="000F6719" w:rsidRDefault="00EF1575" w:rsidP="00EF1575">
      <w:pPr>
        <w:rPr>
          <w:rFonts w:ascii="Dax-Regular" w:hAnsi="Dax-Regular"/>
          <w:u w:val="single"/>
        </w:rPr>
      </w:pPr>
      <w:r w:rsidRPr="000F6719">
        <w:rPr>
          <w:rFonts w:ascii="Dax-Regular" w:hAnsi="Dax-Regular"/>
          <w:u w:val="single"/>
        </w:rPr>
        <w:t>Ne sont pas soumis à la redevance sur les passagers :</w:t>
      </w:r>
    </w:p>
    <w:p w14:paraId="4BB74A66" w14:textId="77777777" w:rsidR="00EF1575" w:rsidRPr="000F6719" w:rsidRDefault="00EF1575" w:rsidP="00EF1575">
      <w:pPr>
        <w:pStyle w:val="Paragraphedeliste"/>
        <w:numPr>
          <w:ilvl w:val="0"/>
          <w:numId w:val="19"/>
        </w:numPr>
        <w:rPr>
          <w:rFonts w:ascii="Dax-Regular" w:hAnsi="Dax-Regular"/>
        </w:rPr>
      </w:pPr>
      <w:r w:rsidRPr="000F6719">
        <w:rPr>
          <w:rFonts w:ascii="Dax-Regular" w:hAnsi="Dax-Regular"/>
        </w:rPr>
        <w:t>Les enfants de moins de quatre ans</w:t>
      </w:r>
    </w:p>
    <w:p w14:paraId="51AE15E7" w14:textId="77777777" w:rsidR="00EF1575" w:rsidRPr="000F6719" w:rsidRDefault="00EF1575" w:rsidP="00EF1575">
      <w:pPr>
        <w:pStyle w:val="Paragraphedeliste"/>
        <w:numPr>
          <w:ilvl w:val="0"/>
          <w:numId w:val="19"/>
        </w:numPr>
        <w:rPr>
          <w:rFonts w:ascii="Dax-Regular" w:hAnsi="Dax-Regular"/>
        </w:rPr>
      </w:pPr>
      <w:r w:rsidRPr="000F6719">
        <w:rPr>
          <w:rFonts w:ascii="Dax-Regular" w:hAnsi="Dax-Regular"/>
        </w:rPr>
        <w:t>Les militaires voyageant en formation constituée</w:t>
      </w:r>
    </w:p>
    <w:p w14:paraId="1E8B1982" w14:textId="77777777" w:rsidR="00EF1575" w:rsidRPr="000F6719" w:rsidRDefault="00EF1575" w:rsidP="00EF1575">
      <w:pPr>
        <w:pStyle w:val="Paragraphedeliste"/>
        <w:numPr>
          <w:ilvl w:val="0"/>
          <w:numId w:val="19"/>
        </w:numPr>
        <w:rPr>
          <w:rFonts w:ascii="Dax-Regular" w:hAnsi="Dax-Regular"/>
        </w:rPr>
      </w:pPr>
      <w:r w:rsidRPr="000F6719">
        <w:rPr>
          <w:rFonts w:ascii="Dax-Regular" w:hAnsi="Dax-Regular"/>
        </w:rPr>
        <w:t>Le personnel de bord</w:t>
      </w:r>
    </w:p>
    <w:p w14:paraId="595E5ADB" w14:textId="77777777" w:rsidR="00EF1575" w:rsidRPr="000F6719" w:rsidRDefault="00EF1575" w:rsidP="00EF1575">
      <w:pPr>
        <w:pStyle w:val="Paragraphedeliste"/>
        <w:numPr>
          <w:ilvl w:val="0"/>
          <w:numId w:val="19"/>
        </w:numPr>
        <w:rPr>
          <w:rFonts w:ascii="Dax-Regular" w:hAnsi="Dax-Regular"/>
        </w:rPr>
      </w:pPr>
      <w:r w:rsidRPr="000F6719">
        <w:rPr>
          <w:rFonts w:ascii="Dax-Regular" w:hAnsi="Dax-Regular"/>
        </w:rPr>
        <w:t>Les agents de l’armateur voyageant pour les besoins du service et muni d’un titre de transport gratuit</w:t>
      </w:r>
    </w:p>
    <w:p w14:paraId="13D05A1B" w14:textId="77777777" w:rsidR="00EF1575" w:rsidRPr="000F6719" w:rsidRDefault="00EF1575" w:rsidP="00EF1575">
      <w:pPr>
        <w:pStyle w:val="Paragraphedeliste"/>
        <w:numPr>
          <w:ilvl w:val="0"/>
          <w:numId w:val="19"/>
        </w:numPr>
        <w:rPr>
          <w:rFonts w:ascii="Dax-Regular" w:hAnsi="Dax-Regular"/>
        </w:rPr>
      </w:pPr>
      <w:r w:rsidRPr="000F6719">
        <w:rPr>
          <w:rFonts w:ascii="Dax-Regular" w:hAnsi="Dax-Regular"/>
        </w:rPr>
        <w:t>Les agents publics dans l’exercice de leurs missions à bords</w:t>
      </w:r>
    </w:p>
    <w:p w14:paraId="4FD26E50" w14:textId="39597A55" w:rsidR="00B958C6" w:rsidRDefault="00B958C6">
      <w:pPr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br w:type="page"/>
      </w:r>
    </w:p>
    <w:p w14:paraId="5CFD9BEF" w14:textId="77777777" w:rsidR="003C2E5D" w:rsidRPr="00B958C6" w:rsidRDefault="003C2E5D" w:rsidP="003C2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-142"/>
        <w:jc w:val="center"/>
        <w:rPr>
          <w:rFonts w:ascii="Dax-Regular" w:hAnsi="Dax-Regular"/>
          <w:b/>
          <w:sz w:val="32"/>
          <w:szCs w:val="32"/>
        </w:rPr>
      </w:pPr>
      <w:r>
        <w:rPr>
          <w:rFonts w:ascii="Dax-Regular" w:hAnsi="Dax-Regular"/>
          <w:b/>
          <w:sz w:val="32"/>
          <w:szCs w:val="32"/>
        </w:rPr>
        <w:lastRenderedPageBreak/>
        <w:t xml:space="preserve">II - </w:t>
      </w:r>
      <w:r w:rsidRPr="00B958C6">
        <w:rPr>
          <w:rFonts w:ascii="Dax-Regular" w:hAnsi="Dax-Regular"/>
          <w:b/>
          <w:sz w:val="32"/>
          <w:szCs w:val="32"/>
        </w:rPr>
        <w:t xml:space="preserve">OUTILLAGE PUBLIC </w:t>
      </w:r>
    </w:p>
    <w:p w14:paraId="2AEB0CB4" w14:textId="1FEB82CD" w:rsidR="00B958C6" w:rsidRPr="003C2E5D" w:rsidRDefault="00B958C6" w:rsidP="00B9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bCs/>
          <w:sz w:val="28"/>
          <w:szCs w:val="28"/>
          <w:u w:val="single"/>
        </w:rPr>
      </w:pPr>
      <w:r w:rsidRPr="003C2E5D">
        <w:rPr>
          <w:rFonts w:ascii="Dax-Regular" w:hAnsi="Dax-Regular"/>
          <w:bCs/>
          <w:sz w:val="28"/>
          <w:szCs w:val="28"/>
          <w:u w:val="single"/>
        </w:rPr>
        <w:t>ARTICLE 1 - CALE DE MISE A L’EAU &amp; REMORQUAGE</w:t>
      </w:r>
    </w:p>
    <w:p w14:paraId="1653183B" w14:textId="77777777" w:rsidR="00B958C6" w:rsidRPr="008604C8" w:rsidRDefault="00B958C6" w:rsidP="00B958C6">
      <w:pPr>
        <w:rPr>
          <w:rFonts w:ascii="Dax-Regular" w:hAnsi="Dax-Regular"/>
          <w:sz w:val="24"/>
          <w:szCs w:val="24"/>
        </w:rPr>
      </w:pPr>
    </w:p>
    <w:p w14:paraId="0CD543D0" w14:textId="77777777" w:rsidR="00B958C6" w:rsidRPr="000F6719" w:rsidRDefault="00B958C6" w:rsidP="00B958C6">
      <w:pPr>
        <w:pStyle w:val="Paragraphedeliste"/>
        <w:numPr>
          <w:ilvl w:val="0"/>
          <w:numId w:val="35"/>
        </w:numPr>
        <w:shd w:val="clear" w:color="auto" w:fill="F7CAAC" w:themeFill="accent2" w:themeFillTint="66"/>
        <w:rPr>
          <w:rFonts w:ascii="Dax-Regular" w:hAnsi="Dax-Regular"/>
          <w:bCs/>
        </w:rPr>
      </w:pPr>
      <w:r w:rsidRPr="000F6719">
        <w:rPr>
          <w:rFonts w:ascii="Dax-Regular" w:hAnsi="Dax-Regular"/>
          <w:bCs/>
        </w:rPr>
        <w:t xml:space="preserve">Cale de mise à l’eau </w:t>
      </w:r>
    </w:p>
    <w:p w14:paraId="6C9734C3" w14:textId="77777777" w:rsidR="00B958C6" w:rsidRPr="000F6719" w:rsidRDefault="00B958C6" w:rsidP="00B958C6">
      <w:pPr>
        <w:pStyle w:val="Paragraphedeliste"/>
        <w:jc w:val="both"/>
        <w:rPr>
          <w:rFonts w:ascii="Dax-Regular" w:hAnsi="Dax-Regular"/>
        </w:rPr>
      </w:pPr>
    </w:p>
    <w:p w14:paraId="7FD01180" w14:textId="7CC9B6BF" w:rsidR="00B958C6" w:rsidRPr="000F6719" w:rsidRDefault="00B958C6" w:rsidP="00B958C6">
      <w:pPr>
        <w:pStyle w:val="Paragraphedeliste"/>
        <w:ind w:left="1080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 xml:space="preserve">Par opération de mise à l’eau, et mise à terre, par les moyens propres de l’usager au tarif de </w:t>
      </w:r>
      <w:r w:rsidRPr="000F6719">
        <w:rPr>
          <w:rFonts w:ascii="Dax-Regular" w:hAnsi="Dax-Regular"/>
          <w:b/>
        </w:rPr>
        <w:t xml:space="preserve">5,00 </w:t>
      </w:r>
      <w:r w:rsidRPr="000F6719">
        <w:rPr>
          <w:rFonts w:ascii="Times New Roman" w:hAnsi="Times New Roman" w:cs="Times New Roman"/>
          <w:b/>
        </w:rPr>
        <w:t xml:space="preserve">€ </w:t>
      </w:r>
      <w:r w:rsidRPr="000F6719">
        <w:rPr>
          <w:rFonts w:ascii="Dax-Regular" w:hAnsi="Dax-Regular"/>
          <w:b/>
        </w:rPr>
        <w:t xml:space="preserve">TTC </w:t>
      </w:r>
      <w:r w:rsidRPr="000F6719">
        <w:rPr>
          <w:rFonts w:ascii="Dax-Regular" w:hAnsi="Dax-Regular"/>
        </w:rPr>
        <w:t xml:space="preserve">(4,17 </w:t>
      </w:r>
      <w:r w:rsidRPr="000F6719">
        <w:rPr>
          <w:rFonts w:ascii="Times New Roman" w:hAnsi="Times New Roman" w:cs="Times New Roman"/>
        </w:rPr>
        <w:t>€</w:t>
      </w:r>
      <w:r w:rsidRPr="000F6719">
        <w:rPr>
          <w:rFonts w:ascii="Dax-Regular" w:hAnsi="Dax-Regular" w:cs="Times New Roman"/>
        </w:rPr>
        <w:t xml:space="preserve"> HT)</w:t>
      </w:r>
      <w:r w:rsidRPr="000F6719">
        <w:rPr>
          <w:rFonts w:ascii="Times New Roman" w:hAnsi="Times New Roman" w:cs="Times New Roman"/>
          <w:b/>
        </w:rPr>
        <w:t xml:space="preserve"> </w:t>
      </w:r>
      <w:r w:rsidRPr="000F6719">
        <w:rPr>
          <w:rFonts w:ascii="Dax-Regular" w:hAnsi="Dax-Regular"/>
        </w:rPr>
        <w:t>du 1</w:t>
      </w:r>
      <w:r w:rsidRPr="000F6719">
        <w:rPr>
          <w:rFonts w:ascii="Dax-Regular" w:hAnsi="Dax-Regular"/>
          <w:vertAlign w:val="superscript"/>
        </w:rPr>
        <w:t>er</w:t>
      </w:r>
      <w:r w:rsidRPr="000F6719">
        <w:rPr>
          <w:rFonts w:ascii="Dax-Regular" w:hAnsi="Dax-Regular"/>
        </w:rPr>
        <w:t xml:space="preserve"> </w:t>
      </w:r>
      <w:r w:rsidR="00366230" w:rsidRPr="000F6719">
        <w:rPr>
          <w:rFonts w:ascii="Dax-Regular" w:hAnsi="Dax-Regular"/>
        </w:rPr>
        <w:t>juillet</w:t>
      </w:r>
      <w:r w:rsidRPr="000F6719">
        <w:rPr>
          <w:rFonts w:ascii="Dax-Regular" w:hAnsi="Dax-Regular"/>
        </w:rPr>
        <w:t xml:space="preserve"> au 1</w:t>
      </w:r>
      <w:r w:rsidRPr="000F6719">
        <w:rPr>
          <w:rFonts w:ascii="Dax-Regular" w:hAnsi="Dax-Regular"/>
          <w:vertAlign w:val="superscript"/>
        </w:rPr>
        <w:t>er</w:t>
      </w:r>
      <w:r w:rsidRPr="000F6719">
        <w:rPr>
          <w:rFonts w:ascii="Dax-Regular" w:hAnsi="Dax-Regular"/>
        </w:rPr>
        <w:t xml:space="preserve"> </w:t>
      </w:r>
      <w:r w:rsidR="00F75DEB" w:rsidRPr="000F6719">
        <w:rPr>
          <w:rFonts w:ascii="Dax-Regular" w:hAnsi="Dax-Regular"/>
        </w:rPr>
        <w:t>septembre</w:t>
      </w:r>
      <w:r w:rsidRPr="000F6719">
        <w:rPr>
          <w:rFonts w:ascii="Dax-Regular" w:hAnsi="Dax-Regular"/>
        </w:rPr>
        <w:t>, sauf pour les titulaires de contrats pour lesquels l’accès est gratuit.</w:t>
      </w:r>
    </w:p>
    <w:p w14:paraId="6C3C54A8" w14:textId="77777777" w:rsidR="00B958C6" w:rsidRPr="000F6719" w:rsidRDefault="00B958C6" w:rsidP="00B958C6">
      <w:pPr>
        <w:pStyle w:val="Paragraphedeliste"/>
        <w:ind w:left="1080"/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Accès libre le reste de l’année.</w:t>
      </w:r>
    </w:p>
    <w:p w14:paraId="52606F6D" w14:textId="77777777" w:rsidR="00B958C6" w:rsidRDefault="00B958C6" w:rsidP="00B958C6">
      <w:pPr>
        <w:pStyle w:val="Paragraphedeliste"/>
        <w:ind w:left="1080"/>
        <w:jc w:val="both"/>
        <w:rPr>
          <w:rFonts w:ascii="Dax-Regular" w:hAnsi="Dax-Regular"/>
        </w:rPr>
      </w:pPr>
    </w:p>
    <w:p w14:paraId="1E080CAE" w14:textId="77777777" w:rsidR="000F6719" w:rsidRPr="000F6719" w:rsidRDefault="000F6719" w:rsidP="00B958C6">
      <w:pPr>
        <w:pStyle w:val="Paragraphedeliste"/>
        <w:ind w:left="1080"/>
        <w:jc w:val="both"/>
        <w:rPr>
          <w:rFonts w:ascii="Dax-Regular" w:hAnsi="Dax-Regular"/>
        </w:rPr>
      </w:pPr>
    </w:p>
    <w:p w14:paraId="589F7CD1" w14:textId="77777777" w:rsidR="00B958C6" w:rsidRPr="000F6719" w:rsidRDefault="00B958C6" w:rsidP="00B958C6">
      <w:pPr>
        <w:pStyle w:val="Paragraphedeliste"/>
        <w:numPr>
          <w:ilvl w:val="0"/>
          <w:numId w:val="35"/>
        </w:numPr>
        <w:shd w:val="clear" w:color="auto" w:fill="F7CAAC" w:themeFill="accent2" w:themeFillTint="66"/>
        <w:rPr>
          <w:rFonts w:ascii="Dax-Regular" w:hAnsi="Dax-Regular"/>
          <w:bCs/>
        </w:rPr>
      </w:pPr>
      <w:r w:rsidRPr="000F6719">
        <w:rPr>
          <w:rFonts w:ascii="Dax-Regular" w:hAnsi="Dax-Regular"/>
          <w:bCs/>
        </w:rPr>
        <w:t>Remorquage des bateaux dans le Port du Lavandou </w:t>
      </w:r>
    </w:p>
    <w:p w14:paraId="79843E0E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tbl>
      <w:tblPr>
        <w:tblW w:w="6694" w:type="dxa"/>
        <w:tblInd w:w="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593"/>
        <w:gridCol w:w="1701"/>
      </w:tblGrid>
      <w:tr w:rsidR="00B958C6" w:rsidRPr="007839E1" w14:paraId="4B8930A4" w14:textId="77777777" w:rsidTr="00A31EC8">
        <w:trPr>
          <w:trHeight w:val="49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14DA103" w14:textId="77777777" w:rsidR="00B958C6" w:rsidRPr="007839E1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 w:rsidRPr="007839E1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TAILLE DU NAVIRE (en m)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A26C8BA" w14:textId="77777777" w:rsidR="00B958C6" w:rsidRPr="001A7AAC" w:rsidRDefault="00B958C6" w:rsidP="00A3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1A7AAC">
              <w:rPr>
                <w:rFonts w:ascii="Dax-Regular" w:eastAsia="Times New Roman" w:hAnsi="Dax-Regular" w:cs="Calibri"/>
                <w:bCs/>
                <w:color w:val="000000"/>
                <w:lang w:eastAsia="fr-FR"/>
              </w:rPr>
              <w:t xml:space="preserve">TARIF HT en </w:t>
            </w:r>
            <w:r w:rsidRPr="001A7AAC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CEF8334" w14:textId="77777777" w:rsidR="00B958C6" w:rsidRPr="001A7AAC" w:rsidRDefault="00B958C6" w:rsidP="00A3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839E1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TARIF TTC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 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€</w:t>
            </w:r>
          </w:p>
        </w:tc>
      </w:tr>
      <w:tr w:rsidR="00B958C6" w:rsidRPr="007839E1" w14:paraId="0A49CCC2" w14:textId="77777777" w:rsidTr="00A31EC8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9BE" w14:textId="77777777" w:rsidR="00B958C6" w:rsidRPr="007839E1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7839E1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7839E1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0 à 9,99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49E1" w14:textId="77777777" w:rsidR="00B958C6" w:rsidRPr="004D09E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16,67</w:t>
            </w:r>
            <w:r w:rsidRPr="004D09ED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8203F" w14:textId="77777777" w:rsidR="00B958C6" w:rsidRPr="00F5636E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color w:val="000000"/>
                <w:highlight w:val="yellow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color w:val="000000"/>
                <w:lang w:eastAsia="fr-FR"/>
              </w:rPr>
              <w:t xml:space="preserve">20,00 </w:t>
            </w:r>
          </w:p>
        </w:tc>
      </w:tr>
      <w:tr w:rsidR="00B958C6" w:rsidRPr="007839E1" w14:paraId="0D0D42F4" w14:textId="77777777" w:rsidTr="00A31EC8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6F9" w14:textId="77777777" w:rsidR="00B958C6" w:rsidRPr="007839E1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7839E1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7839E1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10 à 13,99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6A5" w14:textId="77777777" w:rsidR="00B958C6" w:rsidRPr="004D09E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25,00</w:t>
            </w:r>
            <w:r w:rsidRPr="004D09ED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0D020" w14:textId="77777777" w:rsidR="00B958C6" w:rsidRPr="00F5636E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color w:val="000000"/>
                <w:highlight w:val="yellow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color w:val="000000"/>
                <w:lang w:eastAsia="fr-FR"/>
              </w:rPr>
              <w:t xml:space="preserve">30,00 </w:t>
            </w:r>
          </w:p>
        </w:tc>
      </w:tr>
      <w:tr w:rsidR="00B958C6" w:rsidRPr="007839E1" w14:paraId="54174445" w14:textId="77777777" w:rsidTr="00A31EC8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09F" w14:textId="77777777" w:rsidR="00B958C6" w:rsidRPr="007839E1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7839E1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7839E1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14 à 15,99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6A1" w14:textId="77777777" w:rsidR="00B958C6" w:rsidRPr="004D09E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32,50</w:t>
            </w:r>
            <w:r w:rsidRPr="004D09ED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1A36C" w14:textId="77777777" w:rsidR="00B958C6" w:rsidRPr="00F5636E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color w:val="000000"/>
                <w:highlight w:val="yellow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color w:val="000000"/>
                <w:lang w:eastAsia="fr-FR"/>
              </w:rPr>
              <w:t xml:space="preserve">39,00 </w:t>
            </w:r>
          </w:p>
        </w:tc>
      </w:tr>
      <w:tr w:rsidR="00B958C6" w:rsidRPr="007839E1" w14:paraId="69265FDF" w14:textId="77777777" w:rsidTr="00A31EC8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356" w14:textId="77777777" w:rsidR="00B958C6" w:rsidRPr="007839E1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16 m et plus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CAB" w14:textId="77777777" w:rsidR="00B958C6" w:rsidRPr="004D09E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41,67</w:t>
            </w:r>
            <w:r w:rsidRPr="004D09ED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ADF54" w14:textId="77777777" w:rsidR="00B958C6" w:rsidRPr="00F5636E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color w:val="000000"/>
                <w:highlight w:val="yellow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color w:val="000000"/>
                <w:lang w:eastAsia="fr-FR"/>
              </w:rPr>
              <w:t xml:space="preserve">50,00 </w:t>
            </w:r>
          </w:p>
        </w:tc>
      </w:tr>
    </w:tbl>
    <w:p w14:paraId="0038DD5C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33A621E9" w14:textId="77777777" w:rsidR="000F6719" w:rsidRDefault="000F6719" w:rsidP="00B958C6">
      <w:pPr>
        <w:jc w:val="both"/>
        <w:rPr>
          <w:rFonts w:ascii="Dax-Regular" w:hAnsi="Dax-Regular"/>
          <w:sz w:val="24"/>
          <w:szCs w:val="24"/>
        </w:rPr>
      </w:pPr>
    </w:p>
    <w:p w14:paraId="2090C2C1" w14:textId="77777777" w:rsidR="00B958C6" w:rsidRPr="000F6719" w:rsidRDefault="00B958C6" w:rsidP="00B958C6">
      <w:pPr>
        <w:pStyle w:val="Paragraphedeliste"/>
        <w:numPr>
          <w:ilvl w:val="0"/>
          <w:numId w:val="35"/>
        </w:numPr>
        <w:shd w:val="clear" w:color="auto" w:fill="F7CAAC" w:themeFill="accent2" w:themeFillTint="66"/>
        <w:jc w:val="both"/>
        <w:rPr>
          <w:rFonts w:ascii="Dax-Regular" w:hAnsi="Dax-Regular"/>
          <w:bCs/>
        </w:rPr>
      </w:pPr>
      <w:r w:rsidRPr="000F6719">
        <w:rPr>
          <w:rFonts w:ascii="Dax-Regular" w:hAnsi="Dax-Regular"/>
          <w:bCs/>
        </w:rPr>
        <w:t xml:space="preserve">Prestations diverses de fonctionnement du port </w:t>
      </w:r>
    </w:p>
    <w:p w14:paraId="6C8C1FA8" w14:textId="77777777" w:rsidR="00B958C6" w:rsidRDefault="00B958C6" w:rsidP="00B958C6">
      <w:pPr>
        <w:ind w:left="360"/>
        <w:jc w:val="both"/>
        <w:rPr>
          <w:rFonts w:ascii="Dax-Regular" w:hAnsi="Dax-Regular"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1559"/>
        <w:gridCol w:w="1276"/>
      </w:tblGrid>
      <w:tr w:rsidR="00B958C6" w14:paraId="56589788" w14:textId="77777777" w:rsidTr="000F6719">
        <w:tc>
          <w:tcPr>
            <w:tcW w:w="5245" w:type="dxa"/>
            <w:shd w:val="clear" w:color="auto" w:fill="DEEAF6" w:themeFill="accent1" w:themeFillTint="33"/>
          </w:tcPr>
          <w:p w14:paraId="56A76B70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 w:rsidRPr="00320A75">
              <w:rPr>
                <w:rFonts w:ascii="Dax-Regular" w:hAnsi="Dax-Regular"/>
                <w:b/>
              </w:rPr>
              <w:t>PRESTATIONS</w:t>
            </w:r>
          </w:p>
          <w:p w14:paraId="6FD187D1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54545EDA" w14:textId="77777777" w:rsidR="00B958C6" w:rsidRPr="001A7AAC" w:rsidRDefault="00B958C6" w:rsidP="00A31EC8">
            <w:pPr>
              <w:jc w:val="center"/>
              <w:rPr>
                <w:rFonts w:ascii="Dax-Regular" w:hAnsi="Dax-Regular"/>
                <w:bCs/>
              </w:rPr>
            </w:pPr>
            <w:r w:rsidRPr="001A7AAC">
              <w:rPr>
                <w:rFonts w:ascii="Dax-Regular" w:hAnsi="Dax-Regular"/>
                <w:bCs/>
              </w:rPr>
              <w:t>TARIF HT</w:t>
            </w:r>
          </w:p>
          <w:p w14:paraId="43C7A9D6" w14:textId="77777777" w:rsidR="00B958C6" w:rsidRPr="00320A75" w:rsidRDefault="00B958C6" w:rsidP="00A31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AAC">
              <w:rPr>
                <w:rFonts w:ascii="Dax-Regular" w:hAnsi="Dax-Regular"/>
                <w:bCs/>
              </w:rPr>
              <w:t xml:space="preserve">En </w:t>
            </w:r>
            <w:r w:rsidRPr="001A7AAC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DCB4C02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 w:rsidRPr="00320A75">
              <w:rPr>
                <w:rFonts w:ascii="Dax-Regular" w:hAnsi="Dax-Regular"/>
                <w:b/>
              </w:rPr>
              <w:t>TARIF TTC</w:t>
            </w:r>
          </w:p>
          <w:p w14:paraId="5B2FDDB0" w14:textId="77777777" w:rsidR="00B958C6" w:rsidRPr="00320A75" w:rsidRDefault="00B958C6" w:rsidP="00A31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Dax-Regular" w:hAnsi="Dax-Regular"/>
                <w:b/>
              </w:rPr>
              <w:t xml:space="preserve">En </w:t>
            </w: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B958C6" w14:paraId="56C09193" w14:textId="77777777" w:rsidTr="000F6719">
        <w:tc>
          <w:tcPr>
            <w:tcW w:w="5245" w:type="dxa"/>
          </w:tcPr>
          <w:p w14:paraId="1FBA1A25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5BAB09A7" w14:textId="3529A035" w:rsidR="00B958C6" w:rsidRPr="00320A7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Mise à disposition ligne de mouillage supplémentaire</w:t>
            </w:r>
          </w:p>
        </w:tc>
        <w:tc>
          <w:tcPr>
            <w:tcW w:w="1559" w:type="dxa"/>
          </w:tcPr>
          <w:p w14:paraId="4B9E2D60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0E3F9053" w14:textId="77777777" w:rsidR="00B958C6" w:rsidRPr="00320A7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131,67</w:t>
            </w:r>
          </w:p>
        </w:tc>
        <w:tc>
          <w:tcPr>
            <w:tcW w:w="1276" w:type="dxa"/>
          </w:tcPr>
          <w:p w14:paraId="37906877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3A046C6E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 w:rsidRPr="00320A75">
              <w:rPr>
                <w:rFonts w:ascii="Dax-Regular" w:hAnsi="Dax-Regular"/>
                <w:b/>
              </w:rPr>
              <w:t>158,00</w:t>
            </w:r>
          </w:p>
        </w:tc>
      </w:tr>
      <w:tr w:rsidR="00B958C6" w14:paraId="3259BCF5" w14:textId="77777777" w:rsidTr="000F6719">
        <w:tc>
          <w:tcPr>
            <w:tcW w:w="5245" w:type="dxa"/>
          </w:tcPr>
          <w:p w14:paraId="349D9789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37EA4BFF" w14:textId="18F3E3D4" w:rsidR="00B958C6" w:rsidRPr="00320A7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Forfait plongée au profit des usagers du Port</w:t>
            </w:r>
          </w:p>
        </w:tc>
        <w:tc>
          <w:tcPr>
            <w:tcW w:w="1559" w:type="dxa"/>
          </w:tcPr>
          <w:p w14:paraId="32724BF5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65D8B312" w14:textId="77777777" w:rsidR="00B958C6" w:rsidRPr="00320A7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80,83</w:t>
            </w:r>
          </w:p>
        </w:tc>
        <w:tc>
          <w:tcPr>
            <w:tcW w:w="1276" w:type="dxa"/>
          </w:tcPr>
          <w:p w14:paraId="455A94CD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3F0B5F74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97,00</w:t>
            </w:r>
          </w:p>
        </w:tc>
      </w:tr>
      <w:tr w:rsidR="00B958C6" w14:paraId="0A166BBE" w14:textId="77777777" w:rsidTr="000F6719">
        <w:tc>
          <w:tcPr>
            <w:tcW w:w="5245" w:type="dxa"/>
          </w:tcPr>
          <w:p w14:paraId="37B2D859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42F69907" w14:textId="5F77F5EF" w:rsidR="00B958C6" w:rsidRPr="00320A7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Carte d’accès perdue</w:t>
            </w:r>
          </w:p>
        </w:tc>
        <w:tc>
          <w:tcPr>
            <w:tcW w:w="1559" w:type="dxa"/>
          </w:tcPr>
          <w:p w14:paraId="09597FA8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498308E7" w14:textId="77777777" w:rsidR="00B958C6" w:rsidRPr="00320A7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8,33</w:t>
            </w:r>
          </w:p>
        </w:tc>
        <w:tc>
          <w:tcPr>
            <w:tcW w:w="1276" w:type="dxa"/>
          </w:tcPr>
          <w:p w14:paraId="42F95A96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73151012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10,00</w:t>
            </w:r>
          </w:p>
        </w:tc>
      </w:tr>
      <w:tr w:rsidR="00B958C6" w14:paraId="717023DF" w14:textId="77777777" w:rsidTr="000F6719">
        <w:tc>
          <w:tcPr>
            <w:tcW w:w="5245" w:type="dxa"/>
          </w:tcPr>
          <w:p w14:paraId="19300C67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54D80B10" w14:textId="1822BB53" w:rsidR="00B958C6" w:rsidRPr="00320A7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Sanisettes</w:t>
            </w:r>
          </w:p>
        </w:tc>
        <w:tc>
          <w:tcPr>
            <w:tcW w:w="1559" w:type="dxa"/>
          </w:tcPr>
          <w:p w14:paraId="7F2D3788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04B84AA1" w14:textId="77777777" w:rsidR="00B958C6" w:rsidRPr="00320A7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0,42</w:t>
            </w:r>
          </w:p>
        </w:tc>
        <w:tc>
          <w:tcPr>
            <w:tcW w:w="1276" w:type="dxa"/>
          </w:tcPr>
          <w:p w14:paraId="2D13BD75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69580978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0,50</w:t>
            </w:r>
          </w:p>
        </w:tc>
      </w:tr>
      <w:tr w:rsidR="00B958C6" w14:paraId="438F69AA" w14:textId="77777777" w:rsidTr="000F6719">
        <w:tc>
          <w:tcPr>
            <w:tcW w:w="5245" w:type="dxa"/>
          </w:tcPr>
          <w:p w14:paraId="761D15B3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3F10F164" w14:textId="07792F68" w:rsidR="00B958C6" w:rsidRPr="00320A7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 xml:space="preserve">Emetteur (télécommande) parking perdu </w:t>
            </w:r>
          </w:p>
        </w:tc>
        <w:tc>
          <w:tcPr>
            <w:tcW w:w="1559" w:type="dxa"/>
          </w:tcPr>
          <w:p w14:paraId="08096CB0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6C9B49DE" w14:textId="77777777" w:rsidR="00B958C6" w:rsidRPr="00320A75" w:rsidRDefault="00B958C6" w:rsidP="00A31EC8">
            <w:pPr>
              <w:jc w:val="center"/>
              <w:rPr>
                <w:rFonts w:ascii="Dax-Regular" w:hAnsi="Dax-Regular"/>
              </w:rPr>
            </w:pPr>
            <w:r w:rsidRPr="00D51CD9">
              <w:rPr>
                <w:rFonts w:ascii="Dax-Regular" w:hAnsi="Dax-Regular"/>
              </w:rPr>
              <w:t>41,67</w:t>
            </w:r>
          </w:p>
        </w:tc>
        <w:tc>
          <w:tcPr>
            <w:tcW w:w="1276" w:type="dxa"/>
          </w:tcPr>
          <w:p w14:paraId="1C6DB0C1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37228D31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 w:rsidRPr="00D51CD9">
              <w:rPr>
                <w:rFonts w:ascii="Dax-Regular" w:hAnsi="Dax-Regular"/>
                <w:b/>
              </w:rPr>
              <w:t>50,00</w:t>
            </w:r>
          </w:p>
        </w:tc>
      </w:tr>
      <w:tr w:rsidR="00B958C6" w14:paraId="26246190" w14:textId="77777777" w:rsidTr="000F6719">
        <w:tc>
          <w:tcPr>
            <w:tcW w:w="5245" w:type="dxa"/>
          </w:tcPr>
          <w:p w14:paraId="6FD588EE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1D965E2B" w14:textId="4F1C4A80" w:rsidR="00B958C6" w:rsidRPr="00320A7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Forfait de mise en place de moyen anti-pollution</w:t>
            </w:r>
          </w:p>
        </w:tc>
        <w:tc>
          <w:tcPr>
            <w:tcW w:w="1559" w:type="dxa"/>
          </w:tcPr>
          <w:p w14:paraId="2CA76ADE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2DBB98EC" w14:textId="77777777" w:rsidR="00B958C6" w:rsidRPr="00320A7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83,33</w:t>
            </w:r>
          </w:p>
        </w:tc>
        <w:tc>
          <w:tcPr>
            <w:tcW w:w="1276" w:type="dxa"/>
          </w:tcPr>
          <w:p w14:paraId="10E65A26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701D110F" w14:textId="77777777" w:rsidR="00B958C6" w:rsidRPr="00320A7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100,00</w:t>
            </w:r>
          </w:p>
        </w:tc>
      </w:tr>
    </w:tbl>
    <w:p w14:paraId="5CBFA78E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5A1365F1" w14:textId="77777777" w:rsidR="000F6719" w:rsidRDefault="000F6719" w:rsidP="00B958C6">
      <w:pPr>
        <w:jc w:val="both"/>
        <w:rPr>
          <w:rFonts w:ascii="Dax-Regular" w:hAnsi="Dax-Regular"/>
          <w:sz w:val="24"/>
          <w:szCs w:val="24"/>
        </w:rPr>
      </w:pPr>
    </w:p>
    <w:p w14:paraId="292F3569" w14:textId="77777777" w:rsidR="000F6719" w:rsidRDefault="000F6719" w:rsidP="00B958C6">
      <w:pPr>
        <w:jc w:val="both"/>
        <w:rPr>
          <w:rFonts w:ascii="Dax-Regular" w:hAnsi="Dax-Regular"/>
          <w:sz w:val="24"/>
          <w:szCs w:val="24"/>
        </w:rPr>
      </w:pPr>
    </w:p>
    <w:p w14:paraId="7192DEBE" w14:textId="77777777" w:rsidR="00B958C6" w:rsidRPr="008604C8" w:rsidRDefault="00B958C6" w:rsidP="00B9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lastRenderedPageBreak/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2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 xml:space="preserve">- REDEVANCES D’OCCUPATION DU DOMAINE PUBLIC MARITIME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58E358D3" w14:textId="076FBEDD" w:rsidR="00B958C6" w:rsidRPr="000F6719" w:rsidRDefault="00B958C6" w:rsidP="00B958C6">
      <w:pPr>
        <w:jc w:val="both"/>
        <w:rPr>
          <w:rFonts w:ascii="Dax-Regular" w:hAnsi="Dax-Regular"/>
        </w:rPr>
      </w:pPr>
      <w:r w:rsidRPr="000F6719">
        <w:rPr>
          <w:rFonts w:ascii="Dax-Regular" w:hAnsi="Dax-Regular"/>
        </w:rPr>
        <w:t>L’occupation du domaine public maritime est soumise à une autorisation écrite de la commune.</w:t>
      </w:r>
    </w:p>
    <w:p w14:paraId="009D2BA2" w14:textId="547C1D8D" w:rsidR="00D7421A" w:rsidRPr="000F6719" w:rsidRDefault="00D7421A" w:rsidP="00D7421A">
      <w:pPr>
        <w:jc w:val="both"/>
        <w:rPr>
          <w:rFonts w:ascii="Dax-Regular" w:hAnsi="Dax-Regular"/>
          <w:b/>
          <w:bCs/>
          <w:i/>
          <w:iCs/>
        </w:rPr>
      </w:pPr>
      <w:r w:rsidRPr="000F6719">
        <w:rPr>
          <w:rFonts w:ascii="Dax-Regular" w:hAnsi="Dax-Regular"/>
          <w:b/>
          <w:bCs/>
          <w:i/>
          <w:iCs/>
        </w:rPr>
        <w:t>Le</w:t>
      </w:r>
      <w:r w:rsidR="00A200EC" w:rsidRPr="000F6719">
        <w:rPr>
          <w:rFonts w:ascii="Dax-Regular" w:hAnsi="Dax-Regular"/>
          <w:b/>
          <w:bCs/>
          <w:i/>
          <w:iCs/>
        </w:rPr>
        <w:t>s</w:t>
      </w:r>
      <w:r w:rsidRPr="000F6719">
        <w:rPr>
          <w:rFonts w:ascii="Dax-Regular" w:hAnsi="Dax-Regular"/>
          <w:b/>
          <w:bCs/>
          <w:i/>
          <w:iCs/>
        </w:rPr>
        <w:t xml:space="preserve"> tarifs ci-dessous s’entendent au m</w:t>
      </w:r>
      <w:r w:rsidRPr="000F6719">
        <w:rPr>
          <w:rFonts w:ascii="Cambria" w:hAnsi="Cambria" w:cs="Cambria"/>
          <w:b/>
          <w:bCs/>
          <w:i/>
          <w:iCs/>
        </w:rPr>
        <w:t>²</w:t>
      </w:r>
      <w:r w:rsidRPr="000F6719">
        <w:rPr>
          <w:rFonts w:ascii="Dax-Regular" w:hAnsi="Dax-Regular"/>
          <w:b/>
          <w:bCs/>
          <w:i/>
          <w:iCs/>
        </w:rPr>
        <w:t xml:space="preserve"> et par an</w:t>
      </w:r>
      <w:r w:rsidRPr="000F6719">
        <w:rPr>
          <w:rFonts w:ascii="Dax-Regular" w:hAnsi="Dax-Regular" w:cs="Dax-Regular"/>
          <w:b/>
          <w:bCs/>
          <w:i/>
          <w:iCs/>
        </w:rPr>
        <w:t> </w:t>
      </w:r>
      <w:r w:rsidRPr="000F6719">
        <w:rPr>
          <w:rFonts w:ascii="Dax-Regular" w:hAnsi="Dax-Regular"/>
          <w:b/>
          <w:bCs/>
          <w:i/>
          <w:iCs/>
        </w:rPr>
        <w:t>en TTC :</w:t>
      </w:r>
    </w:p>
    <w:p w14:paraId="0B53795C" w14:textId="77777777" w:rsidR="00D7421A" w:rsidRPr="00D7421A" w:rsidRDefault="00D7421A" w:rsidP="00D7421A">
      <w:pPr>
        <w:jc w:val="both"/>
        <w:rPr>
          <w:rFonts w:ascii="Dax-Regular" w:hAnsi="Dax-Regular"/>
          <w:b/>
          <w:bCs/>
          <w:i/>
          <w:iCs/>
        </w:rPr>
      </w:pPr>
    </w:p>
    <w:p w14:paraId="5B09D44B" w14:textId="5B732A47" w:rsidR="00B958C6" w:rsidRPr="000F6719" w:rsidRDefault="00B958C6" w:rsidP="00B958C6">
      <w:pPr>
        <w:pStyle w:val="Paragraphedeliste"/>
        <w:numPr>
          <w:ilvl w:val="0"/>
          <w:numId w:val="32"/>
        </w:numPr>
        <w:shd w:val="clear" w:color="auto" w:fill="F7CAAC" w:themeFill="accent2" w:themeFillTint="66"/>
        <w:rPr>
          <w:rFonts w:ascii="Dax-Regular" w:hAnsi="Dax-Regular"/>
          <w:bCs/>
        </w:rPr>
      </w:pPr>
      <w:r w:rsidRPr="000F6719">
        <w:rPr>
          <w:rFonts w:ascii="Dax-Regular" w:hAnsi="Dax-Regular"/>
          <w:bCs/>
        </w:rPr>
        <w:t xml:space="preserve">Terrasse </w:t>
      </w:r>
      <w:r w:rsidR="00A200EC" w:rsidRPr="000F6719">
        <w:rPr>
          <w:rFonts w:ascii="Dax-Regular" w:hAnsi="Dax-Regular"/>
          <w:b/>
        </w:rPr>
        <w:t>HORS ZONE PIETONNE</w:t>
      </w:r>
      <w:r w:rsidRPr="000F6719">
        <w:rPr>
          <w:rFonts w:ascii="Dax-Regular" w:hAnsi="Dax-Regular"/>
          <w:bCs/>
        </w:rPr>
        <w:t xml:space="preserve"> </w:t>
      </w:r>
    </w:p>
    <w:p w14:paraId="30B8D7D6" w14:textId="77777777" w:rsidR="00D7421A" w:rsidRDefault="00D7421A" w:rsidP="00B958C6">
      <w:pPr>
        <w:ind w:left="708"/>
        <w:jc w:val="both"/>
        <w:rPr>
          <w:rFonts w:ascii="Dax-Regular" w:hAnsi="Dax-Regular"/>
          <w:sz w:val="24"/>
          <w:szCs w:val="24"/>
        </w:rPr>
      </w:pPr>
    </w:p>
    <w:tbl>
      <w:tblPr>
        <w:tblW w:w="6264" w:type="dxa"/>
        <w:tblInd w:w="1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345"/>
        <w:gridCol w:w="1418"/>
        <w:gridCol w:w="1701"/>
      </w:tblGrid>
      <w:tr w:rsidR="00B958C6" w:rsidRPr="00524C1C" w14:paraId="053C8683" w14:textId="77777777" w:rsidTr="00A31EC8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428" w14:textId="77777777" w:rsidR="00B958C6" w:rsidRPr="00524C1C" w:rsidRDefault="00B958C6" w:rsidP="00A3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400B1BF6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bCs/>
                <w:lang w:eastAsia="fr-FR"/>
              </w:rPr>
              <w:t>TYPE DE TERRASSE HORS ZONE PIETONNE</w:t>
            </w:r>
          </w:p>
        </w:tc>
      </w:tr>
      <w:tr w:rsidR="00B958C6" w:rsidRPr="00524C1C" w14:paraId="65D89596" w14:textId="77777777" w:rsidTr="00A31EC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068" w14:textId="77777777" w:rsidR="00B958C6" w:rsidRPr="00524C1C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i/>
                <w:iCs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bCs/>
                <w:i/>
                <w:iCs/>
                <w:lang w:eastAsia="fr-FR"/>
              </w:rPr>
              <w:t xml:space="preserve">SITUATION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50E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Ouvert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385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Fermé souple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7051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Fermé rigide</w:t>
            </w:r>
          </w:p>
        </w:tc>
      </w:tr>
      <w:tr w:rsidR="00B958C6" w:rsidRPr="00524C1C" w14:paraId="702FB685" w14:textId="77777777" w:rsidTr="00A31EC8">
        <w:trPr>
          <w:trHeight w:val="64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43E" w14:textId="77777777" w:rsidR="00B958C6" w:rsidRPr="00524C1C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INTERIEUR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5D1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 xml:space="preserve">44,00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DDC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 xml:space="preserve">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469C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>12</w:t>
            </w:r>
            <w:r>
              <w:rPr>
                <w:rFonts w:ascii="Dax-Regular" w:eastAsia="Times New Roman" w:hAnsi="Dax-Regular" w:cs="Calibri"/>
                <w:b/>
                <w:lang w:eastAsia="fr-FR"/>
              </w:rPr>
              <w:t>1</w:t>
            </w: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 xml:space="preserve">,00 </w:t>
            </w:r>
          </w:p>
        </w:tc>
      </w:tr>
      <w:tr w:rsidR="00B958C6" w:rsidRPr="00524C1C" w14:paraId="66CF527D" w14:textId="77777777" w:rsidTr="00A31EC8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33A" w14:textId="77777777" w:rsidR="00B958C6" w:rsidRPr="00524C1C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FACE MER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AC19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7CE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 xml:space="preserve">138,00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2E4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lang w:eastAsia="fr-FR"/>
              </w:rPr>
              <w:t xml:space="preserve">170,00 </w:t>
            </w:r>
          </w:p>
        </w:tc>
      </w:tr>
    </w:tbl>
    <w:p w14:paraId="1C49A890" w14:textId="77777777" w:rsidR="00B958C6" w:rsidRPr="00524C1C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50D45748" w14:textId="341BC450" w:rsidR="00B958C6" w:rsidRPr="00524C1C" w:rsidRDefault="00B958C6" w:rsidP="00B958C6">
      <w:pPr>
        <w:pStyle w:val="Paragraphedeliste"/>
        <w:numPr>
          <w:ilvl w:val="0"/>
          <w:numId w:val="32"/>
        </w:numPr>
        <w:shd w:val="clear" w:color="auto" w:fill="F7CAAC" w:themeFill="accent2" w:themeFillTint="66"/>
        <w:rPr>
          <w:rFonts w:ascii="Dax-Regular" w:hAnsi="Dax-Regular"/>
          <w:bCs/>
          <w:sz w:val="24"/>
          <w:szCs w:val="24"/>
        </w:rPr>
      </w:pPr>
      <w:r w:rsidRPr="00524C1C">
        <w:rPr>
          <w:rFonts w:ascii="Dax-Regular" w:hAnsi="Dax-Regular"/>
          <w:bCs/>
          <w:sz w:val="24"/>
          <w:szCs w:val="24"/>
        </w:rPr>
        <w:t xml:space="preserve">Terrasse </w:t>
      </w:r>
      <w:r w:rsidR="00A200EC" w:rsidRPr="00A200EC">
        <w:rPr>
          <w:rFonts w:ascii="Dax-Regular" w:hAnsi="Dax-Regular"/>
          <w:b/>
          <w:sz w:val="24"/>
          <w:szCs w:val="24"/>
        </w:rPr>
        <w:t>ZONE PIETONNE</w:t>
      </w:r>
      <w:r w:rsidRPr="00524C1C">
        <w:rPr>
          <w:rFonts w:ascii="Dax-Regular" w:hAnsi="Dax-Regular"/>
          <w:bCs/>
          <w:sz w:val="24"/>
          <w:szCs w:val="24"/>
        </w:rPr>
        <w:t xml:space="preserve"> </w:t>
      </w:r>
    </w:p>
    <w:p w14:paraId="7D253D1E" w14:textId="77777777" w:rsidR="00B958C6" w:rsidRPr="00524C1C" w:rsidRDefault="00B958C6" w:rsidP="00B958C6">
      <w:pPr>
        <w:pStyle w:val="Paragraphedeliste"/>
        <w:ind w:left="1080"/>
        <w:rPr>
          <w:rFonts w:ascii="Dax-Regular" w:hAnsi="Dax-Regular"/>
          <w:sz w:val="24"/>
          <w:szCs w:val="24"/>
        </w:rPr>
      </w:pPr>
    </w:p>
    <w:tbl>
      <w:tblPr>
        <w:tblW w:w="6120" w:type="dxa"/>
        <w:tblInd w:w="1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097"/>
        <w:gridCol w:w="1664"/>
        <w:gridCol w:w="1559"/>
      </w:tblGrid>
      <w:tr w:rsidR="00B958C6" w:rsidRPr="00524C1C" w14:paraId="17BD5287" w14:textId="77777777" w:rsidTr="00A31EC8">
        <w:trPr>
          <w:trHeight w:val="5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B961" w14:textId="77777777" w:rsidR="00B958C6" w:rsidRPr="00524C1C" w:rsidRDefault="00B958C6" w:rsidP="00A3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806B78C" w14:textId="77777777" w:rsidR="00B958C6" w:rsidRPr="00524C1C" w:rsidRDefault="00B958C6" w:rsidP="00A3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14BC52B3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bCs/>
                <w:lang w:eastAsia="fr-FR"/>
              </w:rPr>
              <w:t>TYPE DE TERRASSE ZONE PIETONNE</w:t>
            </w:r>
          </w:p>
        </w:tc>
      </w:tr>
      <w:tr w:rsidR="00B958C6" w:rsidRPr="00524C1C" w14:paraId="7A3826D9" w14:textId="77777777" w:rsidTr="00A31EC8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30B" w14:textId="77777777" w:rsidR="00B958C6" w:rsidRPr="00524C1C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i/>
                <w:iCs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b/>
                <w:bCs/>
                <w:i/>
                <w:iCs/>
                <w:lang w:eastAsia="fr-FR"/>
              </w:rPr>
              <w:t xml:space="preserve">SITUATION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A34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Ouvert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B97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Fermé souple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60D" w14:textId="77777777" w:rsidR="00B958C6" w:rsidRPr="00524C1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lang w:eastAsia="fr-FR"/>
              </w:rPr>
            </w:pPr>
            <w:r w:rsidRPr="00524C1C">
              <w:rPr>
                <w:rFonts w:ascii="Dax-Regular" w:eastAsia="Times New Roman" w:hAnsi="Dax-Regular" w:cs="Calibri"/>
                <w:lang w:eastAsia="fr-FR"/>
              </w:rPr>
              <w:t>Fermé rigide</w:t>
            </w:r>
          </w:p>
        </w:tc>
      </w:tr>
      <w:tr w:rsidR="00B958C6" w:rsidRPr="004815BD" w14:paraId="3CCF891F" w14:textId="77777777" w:rsidTr="00A31EC8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42C6" w14:textId="77777777" w:rsidR="00B958C6" w:rsidRPr="004815BD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lang w:eastAsia="fr-FR"/>
              </w:rPr>
              <w:t>INTERIEUR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8E27" w14:textId="77777777" w:rsidR="00B958C6" w:rsidRPr="004815B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b/>
                <w:lang w:eastAsia="fr-FR"/>
              </w:rPr>
              <w:t xml:space="preserve">84,00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168" w14:textId="77777777" w:rsidR="00B958C6" w:rsidRPr="004815B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b/>
                <w:lang w:eastAsia="fr-FR"/>
              </w:rPr>
              <w:t xml:space="preserve">121,00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AB5" w14:textId="77777777" w:rsidR="00B958C6" w:rsidRPr="004815B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b/>
                <w:lang w:eastAsia="fr-FR"/>
              </w:rPr>
              <w:t xml:space="preserve">134,00 </w:t>
            </w:r>
          </w:p>
        </w:tc>
      </w:tr>
      <w:tr w:rsidR="00B958C6" w:rsidRPr="004815BD" w14:paraId="39DCFD1A" w14:textId="77777777" w:rsidTr="00A31EC8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C2A" w14:textId="77777777" w:rsidR="00B958C6" w:rsidRPr="004815BD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lang w:eastAsia="fr-FR"/>
              </w:rPr>
              <w:t>FACE MER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8D4" w14:textId="77777777" w:rsidR="00B958C6" w:rsidRPr="004815B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b/>
                <w:lang w:eastAsia="fr-FR"/>
              </w:rPr>
              <w:t xml:space="preserve">134,00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EE0" w14:textId="77777777" w:rsidR="00B958C6" w:rsidRPr="004815B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b/>
                <w:lang w:eastAsia="fr-FR"/>
              </w:rPr>
              <w:t xml:space="preserve">185,00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614" w14:textId="77777777" w:rsidR="00B958C6" w:rsidRPr="004815BD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lang w:eastAsia="fr-FR"/>
              </w:rPr>
            </w:pPr>
            <w:r w:rsidRPr="004815BD">
              <w:rPr>
                <w:rFonts w:ascii="Dax-Regular" w:eastAsia="Times New Roman" w:hAnsi="Dax-Regular" w:cs="Calibri"/>
                <w:b/>
                <w:lang w:eastAsia="fr-FR"/>
              </w:rPr>
              <w:t xml:space="preserve">221,00 </w:t>
            </w:r>
          </w:p>
        </w:tc>
      </w:tr>
    </w:tbl>
    <w:p w14:paraId="7DEBA163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06E120D2" w14:textId="77777777" w:rsidR="00B958C6" w:rsidRPr="007C4C4C" w:rsidRDefault="00B958C6" w:rsidP="00B958C6">
      <w:pPr>
        <w:pStyle w:val="Paragraphedeliste"/>
        <w:numPr>
          <w:ilvl w:val="0"/>
          <w:numId w:val="32"/>
        </w:numPr>
        <w:shd w:val="clear" w:color="auto" w:fill="F7CAAC" w:themeFill="accent2" w:themeFillTint="66"/>
        <w:jc w:val="both"/>
        <w:rPr>
          <w:rFonts w:ascii="Dax-Regular" w:hAnsi="Dax-Regular"/>
          <w:bCs/>
          <w:sz w:val="24"/>
          <w:szCs w:val="24"/>
        </w:rPr>
      </w:pPr>
      <w:r w:rsidRPr="007C4C4C">
        <w:rPr>
          <w:rFonts w:ascii="Dax-Regular" w:hAnsi="Dax-Regular"/>
          <w:bCs/>
          <w:sz w:val="24"/>
          <w:szCs w:val="24"/>
        </w:rPr>
        <w:t xml:space="preserve">Occupation Illicite du domaine public maritime </w:t>
      </w:r>
    </w:p>
    <w:p w14:paraId="5CD65370" w14:textId="77777777" w:rsidR="00AF18AA" w:rsidRPr="00AF18AA" w:rsidRDefault="00AF18AA" w:rsidP="00B958C6">
      <w:pPr>
        <w:pStyle w:val="Paragraphedeliste"/>
        <w:ind w:left="1080"/>
        <w:jc w:val="both"/>
        <w:rPr>
          <w:rFonts w:ascii="Dax-Regular" w:hAnsi="Dax-Regular"/>
          <w:sz w:val="10"/>
          <w:szCs w:val="10"/>
        </w:rPr>
      </w:pPr>
    </w:p>
    <w:p w14:paraId="039B1426" w14:textId="732490DD" w:rsidR="00B958C6" w:rsidRPr="005921C2" w:rsidRDefault="00B958C6" w:rsidP="00B958C6">
      <w:pPr>
        <w:pStyle w:val="Paragraphedeliste"/>
        <w:ind w:left="1080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Dans le cas d’une occupation illicite du domaine public, et après constatation par un agent assermenté, la surface utilisée fera l’objet d’une facturation complémentaire.</w:t>
      </w:r>
    </w:p>
    <w:p w14:paraId="2C67A22C" w14:textId="77777777" w:rsidR="00814228" w:rsidRPr="00AF18AA" w:rsidRDefault="00814228" w:rsidP="00B958C6">
      <w:pPr>
        <w:pStyle w:val="Paragraphedeliste"/>
        <w:ind w:left="1080"/>
        <w:jc w:val="both"/>
        <w:rPr>
          <w:rFonts w:ascii="Dax-Regular" w:hAnsi="Dax-Regular"/>
          <w:sz w:val="16"/>
          <w:szCs w:val="16"/>
          <w:u w:val="single"/>
        </w:rPr>
      </w:pPr>
    </w:p>
    <w:p w14:paraId="66AEC29C" w14:textId="5C54D43B" w:rsidR="00B958C6" w:rsidRPr="007C4C4C" w:rsidRDefault="00B958C6" w:rsidP="00B958C6">
      <w:pPr>
        <w:pStyle w:val="Paragraphedeliste"/>
        <w:numPr>
          <w:ilvl w:val="0"/>
          <w:numId w:val="32"/>
        </w:numPr>
        <w:shd w:val="clear" w:color="auto" w:fill="F7CAAC" w:themeFill="accent2" w:themeFillTint="66"/>
        <w:jc w:val="both"/>
        <w:rPr>
          <w:rFonts w:ascii="Dax-Regular" w:hAnsi="Dax-Regular"/>
          <w:bCs/>
          <w:sz w:val="24"/>
          <w:szCs w:val="24"/>
        </w:rPr>
      </w:pPr>
      <w:r w:rsidRPr="007C4C4C">
        <w:rPr>
          <w:rFonts w:ascii="Dax-Regular" w:hAnsi="Dax-Regular"/>
          <w:bCs/>
          <w:sz w:val="24"/>
          <w:szCs w:val="24"/>
        </w:rPr>
        <w:t xml:space="preserve">Terre-plein </w:t>
      </w:r>
      <w:r w:rsidR="00A200EC">
        <w:rPr>
          <w:rFonts w:ascii="Dax-Regular" w:hAnsi="Dax-Regular"/>
          <w:bCs/>
          <w:sz w:val="24"/>
          <w:szCs w:val="24"/>
        </w:rPr>
        <w:t>non aménagé à usage commercial</w:t>
      </w:r>
    </w:p>
    <w:p w14:paraId="0DC7E2E9" w14:textId="77777777" w:rsidR="00B958C6" w:rsidRPr="00A200EC" w:rsidRDefault="00B958C6" w:rsidP="00A200EC">
      <w:pPr>
        <w:ind w:left="708"/>
        <w:jc w:val="center"/>
        <w:rPr>
          <w:rFonts w:ascii="Dax-Regular" w:hAnsi="Dax-Regular"/>
          <w:b/>
          <w:bCs/>
          <w:i/>
          <w:iCs/>
          <w:sz w:val="24"/>
          <w:szCs w:val="24"/>
        </w:rPr>
      </w:pPr>
      <w:r w:rsidRPr="00A200EC">
        <w:rPr>
          <w:rFonts w:ascii="Dax-Regular" w:hAnsi="Dax-Regular"/>
          <w:b/>
          <w:bCs/>
          <w:i/>
          <w:iCs/>
          <w:sz w:val="24"/>
          <w:szCs w:val="24"/>
        </w:rPr>
        <w:t>Le tarif appliqué par jour et au mètre linéaire (Ex : Fête Foraine).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843"/>
        <w:gridCol w:w="1837"/>
      </w:tblGrid>
      <w:tr w:rsidR="00B958C6" w:rsidRPr="007305B5" w14:paraId="5CB2FA42" w14:textId="77777777" w:rsidTr="00A31EC8">
        <w:tc>
          <w:tcPr>
            <w:tcW w:w="4662" w:type="dxa"/>
            <w:shd w:val="clear" w:color="auto" w:fill="DEEAF6" w:themeFill="accent1" w:themeFillTint="33"/>
          </w:tcPr>
          <w:p w14:paraId="10797978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1F35AA11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DIMENSIONS en mètre linéaire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8CA0DDD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2A82C043" w14:textId="77777777" w:rsidR="00B958C6" w:rsidRPr="007305B5" w:rsidRDefault="00B958C6" w:rsidP="00A31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5B5">
              <w:rPr>
                <w:rFonts w:ascii="Dax-Regular" w:hAnsi="Dax-Regular"/>
                <w:b/>
              </w:rPr>
              <w:t>TARIF HT</w:t>
            </w:r>
            <w:r>
              <w:rPr>
                <w:rFonts w:ascii="Dax-Regular" w:hAnsi="Dax-Regular"/>
                <w:b/>
              </w:rPr>
              <w:t xml:space="preserve"> en </w:t>
            </w:r>
            <w:r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1837" w:type="dxa"/>
            <w:shd w:val="clear" w:color="auto" w:fill="DEEAF6" w:themeFill="accent1" w:themeFillTint="33"/>
          </w:tcPr>
          <w:p w14:paraId="7516902C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7DA5CCE9" w14:textId="77777777" w:rsidR="00B958C6" w:rsidRPr="007305B5" w:rsidRDefault="00B958C6" w:rsidP="00A31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5B5">
              <w:rPr>
                <w:rFonts w:ascii="Dax-Regular" w:hAnsi="Dax-Regular"/>
                <w:b/>
              </w:rPr>
              <w:t>TARIF TTC</w:t>
            </w:r>
            <w:r>
              <w:rPr>
                <w:rFonts w:ascii="Dax-Regular" w:hAnsi="Dax-Regular"/>
                <w:b/>
              </w:rPr>
              <w:t xml:space="preserve"> en </w:t>
            </w: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B958C6" w:rsidRPr="007305B5" w14:paraId="3EF8C987" w14:textId="77777777" w:rsidTr="00A31EC8">
        <w:tc>
          <w:tcPr>
            <w:tcW w:w="4662" w:type="dxa"/>
          </w:tcPr>
          <w:p w14:paraId="7D8B216A" w14:textId="77777777" w:rsidR="000F6719" w:rsidRDefault="000F6719" w:rsidP="00A31EC8">
            <w:pPr>
              <w:jc w:val="both"/>
              <w:rPr>
                <w:rFonts w:ascii="Dax-Regular" w:hAnsi="Dax-Regular"/>
              </w:rPr>
            </w:pPr>
          </w:p>
          <w:p w14:paraId="1812ADAB" w14:textId="3BBBB892" w:rsidR="00B958C6" w:rsidRPr="007305B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 xml:space="preserve">Entre 1 et 4 ml </w:t>
            </w:r>
          </w:p>
        </w:tc>
        <w:tc>
          <w:tcPr>
            <w:tcW w:w="1843" w:type="dxa"/>
          </w:tcPr>
          <w:p w14:paraId="1F9D2F12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6C2396FC" w14:textId="77777777" w:rsidR="00B958C6" w:rsidRPr="007305B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2,50</w:t>
            </w:r>
          </w:p>
        </w:tc>
        <w:tc>
          <w:tcPr>
            <w:tcW w:w="1837" w:type="dxa"/>
          </w:tcPr>
          <w:p w14:paraId="2C642C65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1A07F96F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3,00</w:t>
            </w:r>
          </w:p>
        </w:tc>
      </w:tr>
      <w:tr w:rsidR="00B958C6" w:rsidRPr="007305B5" w14:paraId="33ABEC2D" w14:textId="77777777" w:rsidTr="00A31EC8">
        <w:tc>
          <w:tcPr>
            <w:tcW w:w="4662" w:type="dxa"/>
          </w:tcPr>
          <w:p w14:paraId="69580E57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7A5F0627" w14:textId="2BA48ACA" w:rsidR="00B958C6" w:rsidRPr="007305B5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Entre 5 et 9 ml</w:t>
            </w:r>
          </w:p>
        </w:tc>
        <w:tc>
          <w:tcPr>
            <w:tcW w:w="1843" w:type="dxa"/>
          </w:tcPr>
          <w:p w14:paraId="2A7C0DDD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742CAF53" w14:textId="77777777" w:rsidR="00B958C6" w:rsidRPr="007305B5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3,75</w:t>
            </w:r>
          </w:p>
        </w:tc>
        <w:tc>
          <w:tcPr>
            <w:tcW w:w="1837" w:type="dxa"/>
          </w:tcPr>
          <w:p w14:paraId="714EED66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7BF651C5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4,50</w:t>
            </w:r>
          </w:p>
        </w:tc>
      </w:tr>
      <w:tr w:rsidR="00B958C6" w:rsidRPr="007305B5" w14:paraId="3543308E" w14:textId="77777777" w:rsidTr="00A31EC8">
        <w:tc>
          <w:tcPr>
            <w:tcW w:w="4662" w:type="dxa"/>
          </w:tcPr>
          <w:p w14:paraId="65904CB1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4E9CB97F" w14:textId="626D2160" w:rsidR="00B958C6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Entre 10 et 20 ml</w:t>
            </w:r>
          </w:p>
        </w:tc>
        <w:tc>
          <w:tcPr>
            <w:tcW w:w="1843" w:type="dxa"/>
          </w:tcPr>
          <w:p w14:paraId="6D850C55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243718DC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5,00</w:t>
            </w:r>
          </w:p>
        </w:tc>
        <w:tc>
          <w:tcPr>
            <w:tcW w:w="1837" w:type="dxa"/>
          </w:tcPr>
          <w:p w14:paraId="70C16CB0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477381B1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6,00</w:t>
            </w:r>
          </w:p>
        </w:tc>
      </w:tr>
      <w:tr w:rsidR="00B958C6" w:rsidRPr="007305B5" w14:paraId="11DE0CF0" w14:textId="77777777" w:rsidTr="00A31EC8">
        <w:tc>
          <w:tcPr>
            <w:tcW w:w="4662" w:type="dxa"/>
          </w:tcPr>
          <w:p w14:paraId="6DAA7579" w14:textId="77777777" w:rsidR="00B958C6" w:rsidRDefault="00B958C6" w:rsidP="00A31EC8">
            <w:pPr>
              <w:jc w:val="both"/>
              <w:rPr>
                <w:rFonts w:ascii="Dax-Regular" w:hAnsi="Dax-Regular"/>
              </w:rPr>
            </w:pPr>
          </w:p>
          <w:p w14:paraId="52D8EB50" w14:textId="0FA65058" w:rsidR="00B958C6" w:rsidRDefault="00B958C6" w:rsidP="00A31EC8">
            <w:pPr>
              <w:jc w:val="both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 xml:space="preserve">Supérieur à 20 ml </w:t>
            </w:r>
          </w:p>
        </w:tc>
        <w:tc>
          <w:tcPr>
            <w:tcW w:w="1843" w:type="dxa"/>
          </w:tcPr>
          <w:p w14:paraId="66C83EF7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</w:p>
          <w:p w14:paraId="2B2480F1" w14:textId="77777777" w:rsidR="00B958C6" w:rsidRDefault="00B958C6" w:rsidP="00A31EC8">
            <w:pPr>
              <w:jc w:val="center"/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10,00</w:t>
            </w:r>
          </w:p>
        </w:tc>
        <w:tc>
          <w:tcPr>
            <w:tcW w:w="1837" w:type="dxa"/>
          </w:tcPr>
          <w:p w14:paraId="32737704" w14:textId="77777777" w:rsidR="00B958C6" w:rsidRDefault="00B958C6" w:rsidP="00A31EC8">
            <w:pPr>
              <w:jc w:val="center"/>
              <w:rPr>
                <w:rFonts w:ascii="Dax-Regular" w:hAnsi="Dax-Regular"/>
                <w:b/>
              </w:rPr>
            </w:pPr>
          </w:p>
          <w:p w14:paraId="12A9A9A6" w14:textId="77777777" w:rsidR="00B958C6" w:rsidRPr="007305B5" w:rsidRDefault="00B958C6" w:rsidP="00A31EC8">
            <w:pPr>
              <w:jc w:val="center"/>
              <w:rPr>
                <w:rFonts w:ascii="Dax-Regular" w:hAnsi="Dax-Regular"/>
                <w:b/>
              </w:rPr>
            </w:pPr>
            <w:r>
              <w:rPr>
                <w:rFonts w:ascii="Dax-Regular" w:hAnsi="Dax-Regular"/>
                <w:b/>
              </w:rPr>
              <w:t>12,00</w:t>
            </w:r>
          </w:p>
        </w:tc>
      </w:tr>
    </w:tbl>
    <w:p w14:paraId="0EA31F8B" w14:textId="77777777" w:rsidR="00B958C6" w:rsidRDefault="00B958C6" w:rsidP="00B958C6">
      <w:pPr>
        <w:ind w:left="708"/>
        <w:jc w:val="both"/>
        <w:rPr>
          <w:rFonts w:ascii="Dax-Regular" w:hAnsi="Dax-Regular"/>
          <w:sz w:val="24"/>
          <w:szCs w:val="24"/>
        </w:rPr>
      </w:pPr>
    </w:p>
    <w:p w14:paraId="5DF273FE" w14:textId="77777777" w:rsidR="00B958C6" w:rsidRPr="007C4C4C" w:rsidRDefault="00B958C6" w:rsidP="00B958C6">
      <w:pPr>
        <w:pStyle w:val="Paragraphedeliste"/>
        <w:numPr>
          <w:ilvl w:val="0"/>
          <w:numId w:val="32"/>
        </w:numPr>
        <w:shd w:val="clear" w:color="auto" w:fill="F7CAAC" w:themeFill="accent2" w:themeFillTint="66"/>
        <w:jc w:val="both"/>
        <w:rPr>
          <w:rFonts w:ascii="Dax-Regular" w:hAnsi="Dax-Regular"/>
          <w:bCs/>
          <w:sz w:val="24"/>
          <w:szCs w:val="24"/>
        </w:rPr>
      </w:pPr>
      <w:r w:rsidRPr="007C4C4C">
        <w:rPr>
          <w:rFonts w:ascii="Dax-Regular" w:hAnsi="Dax-Regular"/>
          <w:bCs/>
          <w:sz w:val="24"/>
          <w:szCs w:val="24"/>
        </w:rPr>
        <w:lastRenderedPageBreak/>
        <w:t xml:space="preserve">Signalétique commerciale </w:t>
      </w:r>
    </w:p>
    <w:p w14:paraId="3958BD54" w14:textId="77777777" w:rsidR="00B958C6" w:rsidRPr="005921C2" w:rsidRDefault="00B958C6" w:rsidP="00B958C6">
      <w:pPr>
        <w:ind w:left="709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Une signalétique commerciale est mise en place, et proposée aux commerçants, au travers d’un contrat triennal, avec une facturation annuelle</w:t>
      </w:r>
    </w:p>
    <w:p w14:paraId="1C640221" w14:textId="77777777" w:rsidR="00B958C6" w:rsidRDefault="00B958C6" w:rsidP="00B958C6">
      <w:pPr>
        <w:ind w:left="709"/>
        <w:jc w:val="both"/>
        <w:rPr>
          <w:rFonts w:ascii="Dax-Regular" w:hAnsi="Dax-Regular" w:cs="Times New Roman"/>
          <w:sz w:val="24"/>
          <w:szCs w:val="24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5523"/>
        <w:gridCol w:w="1418"/>
        <w:gridCol w:w="1412"/>
      </w:tblGrid>
      <w:tr w:rsidR="00B958C6" w14:paraId="6E5BD29A" w14:textId="77777777" w:rsidTr="00F64EB4">
        <w:tc>
          <w:tcPr>
            <w:tcW w:w="5523" w:type="dxa"/>
            <w:shd w:val="clear" w:color="auto" w:fill="DEEAF6" w:themeFill="accent1" w:themeFillTint="33"/>
          </w:tcPr>
          <w:p w14:paraId="720F32F9" w14:textId="77777777" w:rsidR="00F64EB4" w:rsidRDefault="00F64EB4" w:rsidP="00A31EC8">
            <w:pPr>
              <w:jc w:val="both"/>
              <w:rPr>
                <w:rFonts w:ascii="Dax-Regular" w:hAnsi="Dax-Regular" w:cs="Times New Roman"/>
                <w:sz w:val="24"/>
                <w:szCs w:val="24"/>
              </w:rPr>
            </w:pPr>
          </w:p>
          <w:p w14:paraId="0936A1DD" w14:textId="77777777" w:rsidR="00B958C6" w:rsidRDefault="00B958C6" w:rsidP="00A31EC8">
            <w:pPr>
              <w:jc w:val="both"/>
              <w:rPr>
                <w:rFonts w:ascii="Dax-Regular" w:hAnsi="Dax-Regular" w:cs="Times New Roman"/>
                <w:sz w:val="24"/>
                <w:szCs w:val="24"/>
              </w:rPr>
            </w:pPr>
            <w:r>
              <w:rPr>
                <w:rFonts w:ascii="Dax-Regular" w:hAnsi="Dax-Regular" w:cs="Times New Roman"/>
                <w:sz w:val="24"/>
                <w:szCs w:val="24"/>
              </w:rPr>
              <w:t xml:space="preserve">Enseigne commerciale par panneau et par an </w:t>
            </w:r>
          </w:p>
          <w:p w14:paraId="43B271D2" w14:textId="026183F0" w:rsidR="00F64EB4" w:rsidRDefault="00F64EB4" w:rsidP="00A31EC8">
            <w:pPr>
              <w:jc w:val="both"/>
              <w:rPr>
                <w:rFonts w:ascii="Dax-Regular" w:hAnsi="Dax-Regular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C9161" w14:textId="77777777" w:rsidR="00F64EB4" w:rsidRDefault="00F64EB4" w:rsidP="00A31EC8">
            <w:pPr>
              <w:jc w:val="both"/>
              <w:rPr>
                <w:rFonts w:ascii="Dax-Regular" w:hAnsi="Dax-Regular" w:cs="Times New Roman"/>
                <w:sz w:val="24"/>
                <w:szCs w:val="24"/>
              </w:rPr>
            </w:pPr>
          </w:p>
          <w:p w14:paraId="7606D27C" w14:textId="7EC5DC2C" w:rsidR="00B958C6" w:rsidRDefault="00B958C6" w:rsidP="00A31EC8">
            <w:pPr>
              <w:jc w:val="both"/>
              <w:rPr>
                <w:rFonts w:ascii="Dax-Regular" w:hAnsi="Dax-Regular" w:cs="Times New Roman"/>
                <w:sz w:val="24"/>
                <w:szCs w:val="24"/>
              </w:rPr>
            </w:pPr>
            <w:r>
              <w:rPr>
                <w:rFonts w:ascii="Dax-Regular" w:hAnsi="Dax-Regular" w:cs="Times New Roman"/>
                <w:sz w:val="24"/>
                <w:szCs w:val="24"/>
              </w:rPr>
              <w:t xml:space="preserve">66,67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Dax-Regular" w:hAnsi="Dax-Regular" w:cs="Times New Roman"/>
                <w:sz w:val="24"/>
                <w:szCs w:val="24"/>
              </w:rPr>
              <w:t>HT</w:t>
            </w:r>
          </w:p>
          <w:p w14:paraId="2FC56A38" w14:textId="77777777" w:rsidR="00F64EB4" w:rsidRDefault="00F64EB4" w:rsidP="00A31EC8">
            <w:pPr>
              <w:jc w:val="both"/>
              <w:rPr>
                <w:rFonts w:ascii="Dax-Regular" w:hAnsi="Dax-Regular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D8B7330" w14:textId="77777777" w:rsidR="00F64EB4" w:rsidRDefault="00F64EB4" w:rsidP="00A31EC8">
            <w:pPr>
              <w:jc w:val="both"/>
              <w:rPr>
                <w:rFonts w:ascii="Dax-Regular" w:hAnsi="Dax-Regular" w:cs="Times New Roman"/>
                <w:b/>
                <w:sz w:val="24"/>
                <w:szCs w:val="24"/>
              </w:rPr>
            </w:pPr>
          </w:p>
          <w:p w14:paraId="4388B385" w14:textId="1C81E06D" w:rsidR="00B958C6" w:rsidRPr="00C020C1" w:rsidRDefault="00B958C6" w:rsidP="00A31EC8">
            <w:pPr>
              <w:jc w:val="both"/>
              <w:rPr>
                <w:rFonts w:ascii="Dax-Regular" w:hAnsi="Dax-Regular" w:cs="Times New Roman"/>
                <w:b/>
                <w:sz w:val="24"/>
                <w:szCs w:val="24"/>
              </w:rPr>
            </w:pPr>
            <w:r w:rsidRPr="00C020C1">
              <w:rPr>
                <w:rFonts w:ascii="Dax-Regular" w:hAnsi="Dax-Regular" w:cs="Times New Roman"/>
                <w:b/>
                <w:sz w:val="24"/>
                <w:szCs w:val="24"/>
              </w:rPr>
              <w:t xml:space="preserve">80,00 </w:t>
            </w:r>
            <w:r w:rsidRPr="00C0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Pr="00C020C1">
              <w:rPr>
                <w:rFonts w:ascii="Dax-Regular" w:hAnsi="Dax-Regular" w:cs="Times New Roman"/>
                <w:b/>
                <w:sz w:val="24"/>
                <w:szCs w:val="24"/>
              </w:rPr>
              <w:t>TTC</w:t>
            </w:r>
          </w:p>
        </w:tc>
      </w:tr>
    </w:tbl>
    <w:p w14:paraId="53AB3D41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6B59C240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6D7DF0B5" w14:textId="77777777" w:rsidR="00B958C6" w:rsidRPr="00430165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1388397B" w14:textId="77777777" w:rsidR="00B958C6" w:rsidRPr="008604C8" w:rsidRDefault="00B958C6" w:rsidP="00B9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>3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  <w:r>
        <w:rPr>
          <w:rFonts w:ascii="Dax-Regular" w:hAnsi="Dax-Regular"/>
          <w:sz w:val="28"/>
          <w:szCs w:val="28"/>
          <w:u w:val="single"/>
        </w:rPr>
        <w:t xml:space="preserve">– REDEVANCE DE STATIONNEMENT DES VEHICULES </w:t>
      </w:r>
    </w:p>
    <w:p w14:paraId="6C11E28C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052CFDEA" w14:textId="6C60EE2D" w:rsidR="00B958C6" w:rsidRPr="005921C2" w:rsidRDefault="00B958C6" w:rsidP="00B958C6">
      <w:pPr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 xml:space="preserve">Le port du Lavandou met à disposition </w:t>
      </w:r>
      <w:r w:rsidRPr="005921C2">
        <w:rPr>
          <w:rFonts w:ascii="Dax-Regular" w:hAnsi="Dax-Regular"/>
          <w:b/>
          <w:u w:val="single"/>
        </w:rPr>
        <w:t>des plaisanciers</w:t>
      </w:r>
      <w:r w:rsidRPr="005921C2">
        <w:rPr>
          <w:rFonts w:ascii="Dax-Regular" w:hAnsi="Dax-Regular"/>
        </w:rPr>
        <w:t xml:space="preserve"> du Port du Lavandou des possibilités de stationnement, </w:t>
      </w:r>
      <w:r w:rsidRPr="005921C2">
        <w:rPr>
          <w:rFonts w:ascii="Dax-Regular" w:hAnsi="Dax-Regular"/>
          <w:b/>
          <w:u w:val="single"/>
        </w:rPr>
        <w:t>accessible du 1</w:t>
      </w:r>
      <w:r w:rsidRPr="005921C2">
        <w:rPr>
          <w:rFonts w:ascii="Dax-Regular" w:hAnsi="Dax-Regular"/>
          <w:b/>
          <w:u w:val="single"/>
          <w:vertAlign w:val="superscript"/>
        </w:rPr>
        <w:t>er</w:t>
      </w:r>
      <w:r w:rsidRPr="005921C2">
        <w:rPr>
          <w:rFonts w:ascii="Dax-Regular" w:hAnsi="Dax-Regular"/>
          <w:b/>
          <w:u w:val="single"/>
        </w:rPr>
        <w:t xml:space="preserve"> </w:t>
      </w:r>
      <w:r w:rsidR="00F64EB4" w:rsidRPr="005921C2">
        <w:rPr>
          <w:rFonts w:ascii="Dax-Regular" w:hAnsi="Dax-Regular"/>
          <w:b/>
          <w:u w:val="single"/>
        </w:rPr>
        <w:t>janvier</w:t>
      </w:r>
      <w:r w:rsidRPr="005921C2">
        <w:rPr>
          <w:rFonts w:ascii="Dax-Regular" w:hAnsi="Dax-Regular"/>
          <w:b/>
          <w:u w:val="single"/>
        </w:rPr>
        <w:t xml:space="preserve"> au 31 décembre</w:t>
      </w:r>
      <w:r w:rsidRPr="005921C2">
        <w:rPr>
          <w:rFonts w:ascii="Dax-Regular" w:hAnsi="Dax-Regular"/>
        </w:rPr>
        <w:t xml:space="preserve">, et </w:t>
      </w:r>
      <w:r w:rsidRPr="005921C2">
        <w:rPr>
          <w:rFonts w:ascii="Dax-Regular" w:hAnsi="Dax-Regular"/>
          <w:b/>
          <w:bCs/>
          <w:i/>
          <w:iCs/>
        </w:rPr>
        <w:t>dans la limite d’une place de stationnement par poste à flot.</w:t>
      </w:r>
      <w:r w:rsidRPr="005921C2">
        <w:rPr>
          <w:rFonts w:ascii="Dax-Regular" w:hAnsi="Dax-Regular"/>
        </w:rPr>
        <w:t xml:space="preserve"> Le tarif des différents abonnements figure dans le tableau ci-dessous et s’entend TTC en Euros.</w:t>
      </w:r>
    </w:p>
    <w:p w14:paraId="2A15A099" w14:textId="77777777" w:rsidR="00B958C6" w:rsidRPr="005921C2" w:rsidRDefault="00B958C6" w:rsidP="00B958C6">
      <w:pPr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Les redevances de stationnement des véhicules, devront être réglées lors de la souscription, et resteront acquises au port en cas de départ anticipé de l’usager.</w:t>
      </w:r>
    </w:p>
    <w:p w14:paraId="411C2EC0" w14:textId="77777777" w:rsidR="00A200EC" w:rsidRDefault="00A200EC" w:rsidP="00B958C6">
      <w:pPr>
        <w:jc w:val="both"/>
        <w:rPr>
          <w:rFonts w:ascii="Dax-Regular" w:hAnsi="Dax-Regular"/>
          <w:sz w:val="24"/>
          <w:szCs w:val="24"/>
        </w:rPr>
      </w:pPr>
    </w:p>
    <w:p w14:paraId="488D3096" w14:textId="77777777" w:rsidR="00643B64" w:rsidRDefault="00643B64" w:rsidP="00B958C6">
      <w:pPr>
        <w:jc w:val="both"/>
        <w:rPr>
          <w:rFonts w:ascii="Dax-Regular" w:hAnsi="Dax-Regular"/>
          <w:sz w:val="24"/>
          <w:szCs w:val="24"/>
        </w:rPr>
      </w:pPr>
    </w:p>
    <w:p w14:paraId="4BB96CE9" w14:textId="7F813029" w:rsidR="006B4958" w:rsidRDefault="006B4958">
      <w:pPr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br w:type="page"/>
      </w:r>
    </w:p>
    <w:p w14:paraId="26232A0B" w14:textId="0E310DBF" w:rsidR="00B958C6" w:rsidRPr="008C190F" w:rsidRDefault="00A200EC" w:rsidP="00B958C6">
      <w:pPr>
        <w:pStyle w:val="Paragraphedeliste"/>
        <w:numPr>
          <w:ilvl w:val="0"/>
          <w:numId w:val="37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lastRenderedPageBreak/>
        <w:t>TARIF PARKING ZONE PORTUAIRE</w:t>
      </w:r>
    </w:p>
    <w:tbl>
      <w:tblPr>
        <w:tblW w:w="7787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1948"/>
        <w:gridCol w:w="1985"/>
      </w:tblGrid>
      <w:tr w:rsidR="00B958C6" w:rsidRPr="00D826C7" w14:paraId="0067ACE6" w14:textId="77777777" w:rsidTr="00A31EC8">
        <w:trPr>
          <w:trHeight w:val="420"/>
        </w:trPr>
        <w:tc>
          <w:tcPr>
            <w:tcW w:w="77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4E432177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>PARKING CAPITAINERIE</w:t>
            </w:r>
          </w:p>
        </w:tc>
      </w:tr>
      <w:tr w:rsidR="00B958C6" w:rsidRPr="00D826C7" w14:paraId="31842F9F" w14:textId="77777777" w:rsidTr="00A31EC8">
        <w:trPr>
          <w:trHeight w:val="42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4609ECA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>Période abonnement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B87DCF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4"/>
                <w:szCs w:val="24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color w:val="000000"/>
                <w:sz w:val="24"/>
                <w:szCs w:val="24"/>
                <w:lang w:eastAsia="fr-FR"/>
              </w:rPr>
              <w:t xml:space="preserve">Tarif HT en </w:t>
            </w:r>
            <w:r w:rsidRPr="00D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BF2892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Tarif TTC en </w:t>
            </w:r>
            <w:r w:rsidRPr="00D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B958C6" w:rsidRPr="00D826C7" w14:paraId="015F39A3" w14:textId="77777777" w:rsidTr="00A31EC8">
        <w:trPr>
          <w:trHeight w:val="42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4A6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>Forfait semaine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DEA1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40,00</w:t>
            </w: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DE1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48</w:t>
            </w: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  <w:tr w:rsidR="00B958C6" w:rsidRPr="00D826C7" w14:paraId="4041EDAC" w14:textId="77777777" w:rsidTr="00A31EC8">
        <w:trPr>
          <w:trHeight w:val="42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D04C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>Forfait quinzaine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DC249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72,50</w:t>
            </w: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52F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87</w:t>
            </w: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  <w:tr w:rsidR="00B958C6" w:rsidRPr="00D826C7" w14:paraId="6942AE25" w14:textId="77777777" w:rsidTr="00A31EC8">
        <w:trPr>
          <w:trHeight w:val="42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B1E8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>Forfait Mois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0E3A1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117,50</w:t>
            </w: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2DD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141</w:t>
            </w: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  <w:tr w:rsidR="00B958C6" w:rsidRPr="00D826C7" w14:paraId="5B731ED3" w14:textId="77777777" w:rsidTr="00A31EC8">
        <w:trPr>
          <w:trHeight w:val="42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6EE" w14:textId="56E95C46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Forfait </w:t>
            </w:r>
            <w:r w:rsidR="00A200EC">
              <w:rPr>
                <w:rFonts w:ascii="Dax-Regular" w:eastAsia="Times New Roman" w:hAnsi="Dax-Regular" w:cs="Calibri"/>
                <w:color w:val="000000"/>
                <w:lang w:eastAsia="fr-FR"/>
              </w:rPr>
              <w:t>année</w:t>
            </w: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B1B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297,50</w:t>
            </w:r>
            <w:r w:rsidRPr="00D826C7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210" w14:textId="77777777" w:rsidR="00B958C6" w:rsidRPr="00D826C7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357</w:t>
            </w:r>
            <w:r w:rsidRPr="00D826C7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</w:tbl>
    <w:p w14:paraId="0C454D57" w14:textId="77777777" w:rsidR="00B958C6" w:rsidRDefault="00B958C6" w:rsidP="00B958C6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tbl>
      <w:tblPr>
        <w:tblW w:w="7645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1806"/>
        <w:gridCol w:w="1985"/>
      </w:tblGrid>
      <w:tr w:rsidR="00B958C6" w:rsidRPr="00A6486C" w14:paraId="05CE08E4" w14:textId="77777777" w:rsidTr="00A31EC8">
        <w:trPr>
          <w:trHeight w:val="420"/>
        </w:trPr>
        <w:tc>
          <w:tcPr>
            <w:tcW w:w="7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59B4BD46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>PARKING AERIEN</w:t>
            </w:r>
          </w:p>
        </w:tc>
      </w:tr>
      <w:tr w:rsidR="00B958C6" w:rsidRPr="00A6486C" w14:paraId="5CFF0977" w14:textId="77777777" w:rsidTr="00A31EC8">
        <w:trPr>
          <w:trHeight w:val="43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C37B9DE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>Période abonnement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E2457B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sz w:val="24"/>
                <w:szCs w:val="24"/>
                <w:lang w:eastAsia="fr-FR"/>
              </w:rPr>
              <w:t xml:space="preserve">Tarif HT en </w:t>
            </w:r>
            <w:r w:rsidRPr="00A6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02C44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Tarif TTC en </w:t>
            </w:r>
            <w:r w:rsidRPr="00A64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B958C6" w:rsidRPr="00A6486C" w14:paraId="498B6292" w14:textId="77777777" w:rsidTr="00A31EC8">
        <w:trPr>
          <w:trHeight w:val="43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F20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>Forfait semaine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0C0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20,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00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62C39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4</w:t>
            </w: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  <w:tr w:rsidR="00B958C6" w:rsidRPr="00A6486C" w14:paraId="696D42F5" w14:textId="77777777" w:rsidTr="00A31EC8">
        <w:trPr>
          <w:trHeight w:val="43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90B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>Forfait quinzaine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1D8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3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6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,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67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3F3D0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4</w:t>
            </w: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  <w:tr w:rsidR="00B958C6" w:rsidRPr="00A6486C" w14:paraId="51831F4B" w14:textId="77777777" w:rsidTr="00A31EC8">
        <w:trPr>
          <w:trHeight w:val="43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AD63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Forfait 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m</w:t>
            </w: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>ois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686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5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9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,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17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5B80F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71</w:t>
            </w: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  <w:tr w:rsidR="00B958C6" w:rsidRPr="00A6486C" w14:paraId="02A0EEF5" w14:textId="77777777" w:rsidTr="00A31EC8">
        <w:trPr>
          <w:trHeight w:val="46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63A" w14:textId="7A61BE7B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Forfait </w:t>
            </w:r>
            <w:r w:rsidR="00A200EC">
              <w:rPr>
                <w:rFonts w:ascii="Dax-Regular" w:eastAsia="Times New Roman" w:hAnsi="Dax-Regular" w:cs="Calibri"/>
                <w:color w:val="000000"/>
                <w:lang w:eastAsia="fr-FR"/>
              </w:rPr>
              <w:t>année</w:t>
            </w: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7AB6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1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48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,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33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A886F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178</w:t>
            </w: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</w:tbl>
    <w:p w14:paraId="438C441C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2B7E57AE" w14:textId="2465A037" w:rsidR="00A200EC" w:rsidRPr="008C190F" w:rsidRDefault="00A200EC" w:rsidP="00A200EC">
      <w:pPr>
        <w:pStyle w:val="Paragraphedeliste"/>
        <w:numPr>
          <w:ilvl w:val="0"/>
          <w:numId w:val="37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ACCES PROFESSIONNEL </w:t>
      </w:r>
      <w:r w:rsidR="00D223FD">
        <w:rPr>
          <w:rFonts w:ascii="Dax-Regular" w:hAnsi="Dax-Regular"/>
          <w:sz w:val="24"/>
          <w:szCs w:val="24"/>
        </w:rPr>
        <w:t>AU PARKING</w:t>
      </w:r>
      <w:r>
        <w:rPr>
          <w:rFonts w:ascii="Dax-Regular" w:hAnsi="Dax-Regular"/>
          <w:sz w:val="24"/>
          <w:szCs w:val="24"/>
        </w:rPr>
        <w:t xml:space="preserve"> ZONE PORTUAIRE</w:t>
      </w:r>
    </w:p>
    <w:p w14:paraId="2A60A700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  <w:r w:rsidRPr="005921C2">
        <w:rPr>
          <w:rFonts w:ascii="Dax-Regular" w:hAnsi="Dax-Regular"/>
        </w:rPr>
        <w:t>Un abonnement saisonnier, donnant accès à tous les parkings du port du Lavandou, est proposé aux professionnels du nautisme, pouvant justifier d’un KBIS ou d’une carte professionnelle</w:t>
      </w:r>
      <w:r>
        <w:rPr>
          <w:rFonts w:ascii="Dax-Regular" w:hAnsi="Dax-Regular"/>
          <w:sz w:val="24"/>
          <w:szCs w:val="24"/>
        </w:rPr>
        <w:t>.</w:t>
      </w:r>
    </w:p>
    <w:p w14:paraId="58F37494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tbl>
      <w:tblPr>
        <w:tblW w:w="7931" w:type="dxa"/>
        <w:tblInd w:w="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1983"/>
        <w:gridCol w:w="1845"/>
      </w:tblGrid>
      <w:tr w:rsidR="00B958C6" w:rsidRPr="00A6486C" w14:paraId="4BD3D268" w14:textId="77777777" w:rsidTr="00A31EC8">
        <w:trPr>
          <w:trHeight w:val="420"/>
        </w:trPr>
        <w:tc>
          <w:tcPr>
            <w:tcW w:w="7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0ECC39D8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ACCES PARKING PROFESSIONNELS DU NAUTISME </w:t>
            </w:r>
          </w:p>
        </w:tc>
      </w:tr>
      <w:tr w:rsidR="00B958C6" w:rsidRPr="00A6486C" w14:paraId="3AA5CFBA" w14:textId="77777777" w:rsidTr="00A31EC8">
        <w:trPr>
          <w:trHeight w:val="42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83BCFCD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>Période abonnement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FB427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sz w:val="24"/>
                <w:szCs w:val="24"/>
                <w:lang w:eastAsia="fr-FR"/>
              </w:rPr>
              <w:t xml:space="preserve">Tarif HT en </w:t>
            </w:r>
            <w:r w:rsidRPr="00A6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CF1D5A" w14:textId="77777777" w:rsidR="00B958C6" w:rsidRPr="00A6486C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Tarif TTC en </w:t>
            </w:r>
            <w:r w:rsidRPr="00A64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B958C6" w:rsidRPr="00A6486C" w14:paraId="55BE69B0" w14:textId="77777777" w:rsidTr="00A31EC8">
        <w:trPr>
          <w:trHeight w:val="420"/>
        </w:trPr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7BC" w14:textId="4C1B570B" w:rsidR="00B958C6" w:rsidRPr="00A6486C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Forfait </w:t>
            </w:r>
            <w:r w:rsidR="00A200EC">
              <w:rPr>
                <w:rFonts w:ascii="Dax-Regular" w:eastAsia="Times New Roman" w:hAnsi="Dax-Regular" w:cs="Calibri"/>
                <w:color w:val="000000"/>
                <w:lang w:eastAsia="fr-FR"/>
              </w:rPr>
              <w:t>année</w:t>
            </w:r>
            <w:r w:rsidRPr="00A6486C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(tous parking)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D82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10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5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>,</w:t>
            </w:r>
            <w:r>
              <w:rPr>
                <w:rFonts w:ascii="Dax-Regular" w:eastAsia="Times New Roman" w:hAnsi="Dax-Regular" w:cs="Calibri"/>
                <w:color w:val="000000"/>
                <w:lang w:eastAsia="fr-FR"/>
              </w:rPr>
              <w:t>00</w:t>
            </w:r>
            <w:r w:rsidRPr="00D51CD9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867F" w14:textId="77777777" w:rsidR="00B958C6" w:rsidRPr="00D51CD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26</w:t>
            </w:r>
            <w:r w:rsidRPr="00D51CD9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</w:p>
        </w:tc>
      </w:tr>
    </w:tbl>
    <w:p w14:paraId="04E95D95" w14:textId="77777777" w:rsidR="00B958C6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p w14:paraId="07B7CC0A" w14:textId="77777777" w:rsidR="00B958C6" w:rsidRPr="005921C2" w:rsidRDefault="00B958C6" w:rsidP="00B958C6">
      <w:pPr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Pour l’ensemble des abonnements, il sera remis à chaque usager, lors de la souscription :</w:t>
      </w:r>
    </w:p>
    <w:p w14:paraId="311B43DF" w14:textId="17D933A5" w:rsidR="00B958C6" w:rsidRPr="005921C2" w:rsidRDefault="00B958C6" w:rsidP="00B958C6">
      <w:pPr>
        <w:pStyle w:val="Paragraphedeliste"/>
        <w:numPr>
          <w:ilvl w:val="2"/>
          <w:numId w:val="31"/>
        </w:numPr>
        <w:ind w:left="1134"/>
        <w:jc w:val="both"/>
        <w:rPr>
          <w:rFonts w:ascii="Dax-Regular" w:hAnsi="Dax-Regular"/>
        </w:rPr>
      </w:pPr>
      <w:r w:rsidRPr="005921C2">
        <w:rPr>
          <w:rFonts w:ascii="Dax-Regular" w:hAnsi="Dax-Regular"/>
          <w:b/>
        </w:rPr>
        <w:t>Une carte par véhicule à disposer de manière visible sur le tableau de bord ou sur le pare-brise.</w:t>
      </w:r>
      <w:r w:rsidRPr="005921C2">
        <w:rPr>
          <w:rFonts w:ascii="Dax-Regular" w:hAnsi="Dax-Regular"/>
        </w:rPr>
        <w:t xml:space="preserve"> Le </w:t>
      </w:r>
      <w:r w:rsidR="00A200EC" w:rsidRPr="005921C2">
        <w:rPr>
          <w:rFonts w:ascii="Dax-Regular" w:hAnsi="Dax-Regular"/>
        </w:rPr>
        <w:t>non-affichage</w:t>
      </w:r>
      <w:r w:rsidRPr="005921C2">
        <w:rPr>
          <w:rFonts w:ascii="Dax-Regular" w:hAnsi="Dax-Regular"/>
        </w:rPr>
        <w:t xml:space="preserve"> de la carte est passible, en cas de contrôle, de verbalisation.</w:t>
      </w:r>
    </w:p>
    <w:p w14:paraId="7E078A3D" w14:textId="77777777" w:rsidR="00B958C6" w:rsidRPr="005921C2" w:rsidRDefault="00B958C6" w:rsidP="00B958C6">
      <w:pPr>
        <w:pStyle w:val="Paragraphedeliste"/>
        <w:ind w:left="1134"/>
        <w:jc w:val="both"/>
        <w:rPr>
          <w:rFonts w:ascii="Dax-Regular" w:hAnsi="Dax-Regular"/>
        </w:rPr>
      </w:pPr>
    </w:p>
    <w:p w14:paraId="024F4A43" w14:textId="77777777" w:rsidR="00B958C6" w:rsidRPr="005921C2" w:rsidRDefault="00B958C6" w:rsidP="00B958C6">
      <w:pPr>
        <w:pStyle w:val="Paragraphedeliste"/>
        <w:numPr>
          <w:ilvl w:val="2"/>
          <w:numId w:val="31"/>
        </w:numPr>
        <w:ind w:left="1134"/>
        <w:jc w:val="both"/>
        <w:rPr>
          <w:rFonts w:ascii="Dax-Regular" w:hAnsi="Dax-Regular"/>
        </w:rPr>
      </w:pPr>
      <w:r w:rsidRPr="005921C2">
        <w:rPr>
          <w:rFonts w:ascii="Dax-Regular" w:hAnsi="Dax-Regular"/>
          <w:b/>
        </w:rPr>
        <w:t>Un émetteur permettant l’ouverture de la barrière</w:t>
      </w:r>
      <w:r w:rsidRPr="005921C2">
        <w:rPr>
          <w:rFonts w:ascii="Dax-Regular" w:hAnsi="Dax-Regular"/>
        </w:rPr>
        <w:t xml:space="preserve">. </w:t>
      </w:r>
    </w:p>
    <w:p w14:paraId="36E0A8CF" w14:textId="4BA185FC" w:rsidR="00B958C6" w:rsidRPr="005921C2" w:rsidRDefault="00B958C6" w:rsidP="00B958C6">
      <w:pPr>
        <w:pStyle w:val="Paragraphedeliste"/>
        <w:ind w:left="1134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 xml:space="preserve">Cet émetteur doit être remis en fin de période de stationnement à la capitainerie. En cas de perte ou de </w:t>
      </w:r>
      <w:r w:rsidR="00A200EC" w:rsidRPr="005921C2">
        <w:rPr>
          <w:rFonts w:ascii="Dax-Regular" w:hAnsi="Dax-Regular"/>
        </w:rPr>
        <w:t>non-restitution</w:t>
      </w:r>
      <w:r w:rsidRPr="005921C2">
        <w:rPr>
          <w:rFonts w:ascii="Dax-Regular" w:hAnsi="Dax-Regular"/>
        </w:rPr>
        <w:t xml:space="preserve">, une facture de </w:t>
      </w:r>
      <w:r w:rsidRPr="005921C2">
        <w:rPr>
          <w:rFonts w:ascii="Dax-Regular" w:hAnsi="Dax-Regular"/>
          <w:b/>
        </w:rPr>
        <w:t xml:space="preserve">50 </w:t>
      </w:r>
      <w:r w:rsidRPr="005921C2">
        <w:rPr>
          <w:rFonts w:ascii="Times New Roman" w:hAnsi="Times New Roman" w:cs="Times New Roman"/>
          <w:b/>
        </w:rPr>
        <w:t xml:space="preserve">€ </w:t>
      </w:r>
      <w:r w:rsidRPr="005921C2">
        <w:rPr>
          <w:rFonts w:ascii="Dax-Regular" w:hAnsi="Dax-Regular"/>
          <w:b/>
        </w:rPr>
        <w:t>TTC</w:t>
      </w:r>
      <w:r w:rsidRPr="005921C2">
        <w:rPr>
          <w:rFonts w:ascii="Dax-Regular" w:hAnsi="Dax-Regular"/>
        </w:rPr>
        <w:t xml:space="preserve"> </w:t>
      </w:r>
    </w:p>
    <w:p w14:paraId="63B8D714" w14:textId="2C963FC0" w:rsidR="00B958C6" w:rsidRPr="005921C2" w:rsidRDefault="00B958C6" w:rsidP="00B958C6">
      <w:pPr>
        <w:pStyle w:val="Paragraphedeliste"/>
        <w:ind w:left="1134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 xml:space="preserve">(41,67 </w:t>
      </w:r>
      <w:r w:rsidRPr="005921C2">
        <w:rPr>
          <w:rFonts w:ascii="Times New Roman" w:hAnsi="Times New Roman" w:cs="Times New Roman"/>
        </w:rPr>
        <w:t>€</w:t>
      </w:r>
      <w:r w:rsidRPr="005921C2">
        <w:rPr>
          <w:rFonts w:ascii="Dax-Regular" w:hAnsi="Dax-Regular" w:cs="Times New Roman"/>
        </w:rPr>
        <w:t xml:space="preserve"> HT</w:t>
      </w:r>
      <w:r w:rsidRPr="005921C2">
        <w:rPr>
          <w:rFonts w:ascii="Times New Roman" w:hAnsi="Times New Roman" w:cs="Times New Roman"/>
        </w:rPr>
        <w:t xml:space="preserve">) </w:t>
      </w:r>
      <w:r w:rsidRPr="005921C2">
        <w:rPr>
          <w:rFonts w:ascii="Dax-Regular" w:hAnsi="Dax-Regular"/>
        </w:rPr>
        <w:t>sera émise au client.</w:t>
      </w:r>
    </w:p>
    <w:p w14:paraId="45200EDB" w14:textId="77777777" w:rsidR="00B958C6" w:rsidRDefault="00B958C6" w:rsidP="00B958C6">
      <w:pPr>
        <w:pStyle w:val="Paragraphedeliste"/>
        <w:ind w:left="1134"/>
        <w:jc w:val="both"/>
        <w:rPr>
          <w:rFonts w:ascii="Dax-Regular" w:hAnsi="Dax-Regular"/>
          <w:sz w:val="24"/>
          <w:szCs w:val="24"/>
        </w:rPr>
      </w:pPr>
    </w:p>
    <w:p w14:paraId="0BE7089F" w14:textId="77777777" w:rsidR="005921C2" w:rsidRDefault="005921C2" w:rsidP="00B958C6">
      <w:pPr>
        <w:pStyle w:val="Paragraphedeliste"/>
        <w:ind w:left="1134"/>
        <w:jc w:val="both"/>
        <w:rPr>
          <w:rFonts w:ascii="Dax-Regular" w:hAnsi="Dax-Regular"/>
          <w:sz w:val="24"/>
          <w:szCs w:val="24"/>
        </w:rPr>
      </w:pPr>
    </w:p>
    <w:p w14:paraId="45562176" w14:textId="77777777" w:rsidR="005921C2" w:rsidRDefault="005921C2" w:rsidP="00B958C6">
      <w:pPr>
        <w:pStyle w:val="Paragraphedeliste"/>
        <w:ind w:left="1134"/>
        <w:jc w:val="both"/>
        <w:rPr>
          <w:rFonts w:ascii="Dax-Regular" w:hAnsi="Dax-Regular"/>
          <w:sz w:val="24"/>
          <w:szCs w:val="24"/>
        </w:rPr>
      </w:pPr>
    </w:p>
    <w:p w14:paraId="22A5EB5A" w14:textId="77777777" w:rsidR="005921C2" w:rsidRDefault="005921C2" w:rsidP="00B958C6">
      <w:pPr>
        <w:pStyle w:val="Paragraphedeliste"/>
        <w:ind w:left="1134"/>
        <w:jc w:val="both"/>
        <w:rPr>
          <w:rFonts w:ascii="Dax-Regular" w:hAnsi="Dax-Regular"/>
          <w:sz w:val="24"/>
          <w:szCs w:val="24"/>
        </w:rPr>
      </w:pPr>
    </w:p>
    <w:p w14:paraId="60DF3E42" w14:textId="0505656A" w:rsidR="00D223FD" w:rsidRDefault="00522767" w:rsidP="00D223FD">
      <w:pPr>
        <w:pStyle w:val="Paragraphedeliste"/>
        <w:numPr>
          <w:ilvl w:val="0"/>
          <w:numId w:val="37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lastRenderedPageBreak/>
        <w:t>TARIF</w:t>
      </w:r>
      <w:r w:rsidR="00D223FD">
        <w:rPr>
          <w:rFonts w:ascii="Dax-Regular" w:hAnsi="Dax-Regular"/>
          <w:sz w:val="24"/>
          <w:szCs w:val="24"/>
        </w:rPr>
        <w:t xml:space="preserve"> </w:t>
      </w:r>
      <w:r w:rsidR="00643B64">
        <w:rPr>
          <w:rFonts w:ascii="Dax-Regular" w:hAnsi="Dax-Regular"/>
          <w:sz w:val="24"/>
          <w:szCs w:val="24"/>
        </w:rPr>
        <w:t xml:space="preserve">PARKING </w:t>
      </w:r>
      <w:r w:rsidR="00D223FD">
        <w:rPr>
          <w:rFonts w:ascii="Dax-Regular" w:hAnsi="Dax-Regular"/>
          <w:sz w:val="24"/>
          <w:szCs w:val="24"/>
        </w:rPr>
        <w:t>des Iles d’Or</w:t>
      </w:r>
    </w:p>
    <w:p w14:paraId="1981A4C4" w14:textId="77777777" w:rsidR="00522767" w:rsidRDefault="00522767" w:rsidP="00522767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tbl>
      <w:tblPr>
        <w:tblpPr w:leftFromText="141" w:rightFromText="141" w:vertAnchor="page" w:horzAnchor="margin" w:tblpXSpec="center" w:tblpY="2266"/>
        <w:tblW w:w="6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78"/>
        <w:gridCol w:w="1940"/>
      </w:tblGrid>
      <w:tr w:rsidR="00627A01" w:rsidRPr="00E21DE0" w14:paraId="5BCB77C5" w14:textId="77777777" w:rsidTr="00627A01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A499C9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AC7881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Parking des Iles d'Or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7C773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27A01" w:rsidRPr="00E21DE0" w14:paraId="1821B6B6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BE971C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B7DF24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TARIF TTC en Euros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F85D58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27A01" w:rsidRPr="00E21DE0" w14:paraId="63873752" w14:textId="77777777" w:rsidTr="00627A0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6B315E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51C768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A43F2A"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>du</w:t>
            </w:r>
            <w:proofErr w:type="gramEnd"/>
            <w:r w:rsidRPr="00A43F2A"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 xml:space="preserve"> 1</w:t>
            </w:r>
            <w:r w:rsidRPr="00A43F2A">
              <w:rPr>
                <w:rFonts w:ascii="Dax-Regular" w:eastAsia="Times New Roman" w:hAnsi="Dax-Regular" w:cs="Calibri"/>
                <w:sz w:val="18"/>
                <w:szCs w:val="18"/>
                <w:vertAlign w:val="superscript"/>
                <w:lang w:eastAsia="fr-FR"/>
              </w:rPr>
              <w:t>er</w:t>
            </w:r>
            <w:r w:rsidRPr="00A43F2A"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 xml:space="preserve"> avril au </w:t>
            </w:r>
            <w:r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>10</w:t>
            </w:r>
            <w:r w:rsidRPr="00A43F2A"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 xml:space="preserve"> novembre</w:t>
            </w:r>
            <w:r w:rsidRPr="00FD5DE8"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5B959B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27A01" w:rsidRPr="00E21DE0" w14:paraId="5011626C" w14:textId="77777777" w:rsidTr="00627A0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56220BA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08E548A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Durée limitée à 7 jours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4E0B39" w14:textId="77777777" w:rsidR="00627A01" w:rsidRPr="00E21DE0" w:rsidRDefault="00627A01" w:rsidP="00627A01">
            <w:pPr>
              <w:spacing w:after="0" w:line="240" w:lineRule="auto"/>
              <w:ind w:right="-2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27A01" w:rsidRPr="00E21DE0" w14:paraId="154DDD70" w14:textId="77777777" w:rsidTr="00627A01">
        <w:trPr>
          <w:trHeight w:val="70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F9A579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Heure de jour (8h à 20 h) - Tarif au 1/4 d'heure</w:t>
            </w:r>
          </w:p>
        </w:tc>
      </w:tr>
      <w:tr w:rsidR="00627A01" w:rsidRPr="00E21DE0" w14:paraId="39BA0205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A4A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1er et 2ème 1/4 heure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975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GRATUIT</w:t>
            </w:r>
          </w:p>
        </w:tc>
      </w:tr>
      <w:tr w:rsidR="00627A01" w:rsidRPr="00E21DE0" w14:paraId="1F26651C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EAD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3ème 1/4 heure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9EB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              0,</w:t>
            </w: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90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7266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1/4 d'heure</w:t>
            </w:r>
          </w:p>
        </w:tc>
      </w:tr>
      <w:tr w:rsidR="00627A01" w:rsidRPr="00E21DE0" w14:paraId="58FEBFB8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38A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4ème 1/4 heure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9BC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              0,</w:t>
            </w: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40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8868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1/4 d'heure</w:t>
            </w:r>
          </w:p>
        </w:tc>
      </w:tr>
      <w:tr w:rsidR="00627A01" w:rsidRPr="00E21DE0" w14:paraId="3A16F1DF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C9B0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à</w:t>
            </w:r>
            <w:proofErr w:type="gramEnd"/>
            <w:r w:rsidRPr="00E21D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partir de la 2ème heure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4897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              0,</w:t>
            </w: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50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B906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1/4 d'heure</w:t>
            </w:r>
          </w:p>
        </w:tc>
      </w:tr>
      <w:tr w:rsidR="00627A01" w:rsidRPr="00E21DE0" w14:paraId="34ED3F65" w14:textId="77777777" w:rsidTr="00627A01">
        <w:trPr>
          <w:trHeight w:val="300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D7EC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27A01" w:rsidRPr="00E21DE0" w14:paraId="4E640548" w14:textId="77777777" w:rsidTr="00627A01">
        <w:trPr>
          <w:trHeight w:val="300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CA5C42F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Heure de nuit (20h à 8 h) - Tarif au 1/4 d'heure</w:t>
            </w:r>
          </w:p>
        </w:tc>
      </w:tr>
      <w:tr w:rsidR="00627A01" w:rsidRPr="00E21DE0" w14:paraId="325C731F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C8F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1/4 heure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67F40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0,30  </w:t>
            </w:r>
          </w:p>
        </w:tc>
      </w:tr>
      <w:tr w:rsidR="00627A01" w:rsidRPr="00E21DE0" w14:paraId="20FCCE0B" w14:textId="77777777" w:rsidTr="00627A01">
        <w:trPr>
          <w:trHeight w:val="300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40EF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27A01" w:rsidRPr="00E21DE0" w14:paraId="0778EA89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ED6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jour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(24 h continues)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C1E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24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378" w14:textId="77777777" w:rsidR="00627A01" w:rsidRPr="008619C2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jour</w:t>
            </w:r>
          </w:p>
        </w:tc>
      </w:tr>
      <w:tr w:rsidR="00627A01" w:rsidRPr="00E21DE0" w14:paraId="6394E291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621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ticket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perdu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7D9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135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ABA" w14:textId="77777777" w:rsidR="00627A01" w:rsidRPr="008619C2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ticket</w:t>
            </w:r>
          </w:p>
        </w:tc>
      </w:tr>
      <w:tr w:rsidR="00627A01" w:rsidRPr="00E21DE0" w14:paraId="431C78E1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C13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badge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perdu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837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21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E4BA" w14:textId="77777777" w:rsidR="00627A01" w:rsidRPr="008619C2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badge</w:t>
            </w:r>
          </w:p>
        </w:tc>
      </w:tr>
      <w:tr w:rsidR="00627A01" w:rsidRPr="00E21DE0" w14:paraId="09027D52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2A41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intervention</w:t>
            </w:r>
            <w:proofErr w:type="gramEnd"/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 agent Saur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347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85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F17" w14:textId="77777777" w:rsidR="00627A01" w:rsidRPr="008619C2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intervention</w:t>
            </w:r>
          </w:p>
        </w:tc>
      </w:tr>
      <w:tr w:rsidR="00627A01" w:rsidRPr="00E21DE0" w14:paraId="076356DC" w14:textId="77777777" w:rsidTr="00627A0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5ED9" w14:textId="77777777" w:rsidR="00627A01" w:rsidRPr="00E21DE0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Barrière cassée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D2D" w14:textId="77777777" w:rsidR="00627A01" w:rsidRPr="00E21DE0" w:rsidRDefault="00627A01" w:rsidP="00627A01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520</w:t>
            </w:r>
            <w:r w:rsidRPr="00E21DE0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916" w14:textId="77777777" w:rsidR="00627A01" w:rsidRPr="008619C2" w:rsidRDefault="00627A01" w:rsidP="00627A01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8619C2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lisse</w:t>
            </w:r>
          </w:p>
        </w:tc>
      </w:tr>
    </w:tbl>
    <w:p w14:paraId="572821DE" w14:textId="77777777" w:rsidR="00223B8E" w:rsidRDefault="00223B8E" w:rsidP="00522767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4A63F96A" w14:textId="77777777" w:rsidR="00627A01" w:rsidRDefault="00627A01" w:rsidP="00522767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383BA431" w14:textId="77777777" w:rsidR="00627A01" w:rsidRDefault="00627A01" w:rsidP="00522767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7BCB74B2" w14:textId="77777777" w:rsidR="00627A01" w:rsidRDefault="00627A01" w:rsidP="00522767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3FB73B82" w14:textId="6124D91F" w:rsidR="00223B8E" w:rsidRDefault="00223B8E" w:rsidP="00522767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7E9D4C1C" w14:textId="1E4031FF" w:rsidR="00522767" w:rsidRPr="00223B8E" w:rsidRDefault="00223B8E" w:rsidP="00223B8E">
      <w:pPr>
        <w:pStyle w:val="Paragraphedeliste"/>
        <w:numPr>
          <w:ilvl w:val="0"/>
          <w:numId w:val="37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 w:rsidRPr="00223B8E">
        <w:rPr>
          <w:rFonts w:ascii="Dax-Regular" w:hAnsi="Dax-Regular"/>
          <w:sz w:val="24"/>
          <w:szCs w:val="24"/>
        </w:rPr>
        <w:tab/>
        <w:t>TARIF</w:t>
      </w:r>
      <w:r>
        <w:rPr>
          <w:rFonts w:ascii="Dax-Regular" w:hAnsi="Dax-Regular"/>
          <w:sz w:val="24"/>
          <w:szCs w:val="24"/>
        </w:rPr>
        <w:t xml:space="preserve"> VOIRIE </w:t>
      </w:r>
    </w:p>
    <w:tbl>
      <w:tblPr>
        <w:tblW w:w="6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408"/>
        <w:gridCol w:w="1489"/>
      </w:tblGrid>
      <w:tr w:rsidR="00B958C6" w:rsidRPr="00902269" w14:paraId="579A415B" w14:textId="77777777" w:rsidTr="00A31EC8">
        <w:trPr>
          <w:trHeight w:val="300"/>
          <w:jc w:val="center"/>
        </w:trPr>
        <w:tc>
          <w:tcPr>
            <w:tcW w:w="69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52385ED0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Parking voiries du 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Q</w:t>
            </w: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uai 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B</w:t>
            </w: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aptistin Pins et contrebas Av. Louis </w:t>
            </w:r>
            <w:proofErr w:type="spellStart"/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Faedda</w:t>
            </w:r>
            <w:proofErr w:type="spellEnd"/>
          </w:p>
        </w:tc>
      </w:tr>
      <w:tr w:rsidR="00B958C6" w:rsidRPr="00902269" w14:paraId="0B1EADE8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CA1A32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5BDDB6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TARIF TTC en Euros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555805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958C6" w:rsidRPr="00902269" w14:paraId="0CC0FB0B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025AF3" w14:textId="77777777" w:rsidR="00B958C6" w:rsidRPr="00E85C62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E85C62">
              <w:rPr>
                <w:rFonts w:ascii="Dax-Regular" w:eastAsia="Times New Roman" w:hAnsi="Dax-Regular" w:cs="Calibri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67E28F" w14:textId="564D4396" w:rsidR="00B958C6" w:rsidRPr="00522767" w:rsidRDefault="00A43F2A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FF0000"/>
                <w:sz w:val="18"/>
                <w:szCs w:val="18"/>
                <w:highlight w:val="yellow"/>
                <w:lang w:eastAsia="fr-FR"/>
              </w:rPr>
            </w:pPr>
            <w:r w:rsidRPr="00A43F2A">
              <w:rPr>
                <w:rFonts w:ascii="Dax-Regular" w:eastAsia="Times New Roman" w:hAnsi="Dax-Regular" w:cs="Calibri"/>
                <w:sz w:val="18"/>
                <w:szCs w:val="18"/>
                <w:lang w:eastAsia="fr-FR"/>
              </w:rPr>
              <w:t xml:space="preserve">Période Idem Tarif Ville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86B7053" w14:textId="77777777" w:rsidR="00B958C6" w:rsidRPr="00E85C62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E85C62">
              <w:rPr>
                <w:rFonts w:ascii="Dax-Regular" w:eastAsia="Times New Roman" w:hAnsi="Dax-Regular" w:cs="Calibri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B958C6" w:rsidRPr="00902269" w14:paraId="1A01603C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6B9522" w14:textId="77777777" w:rsidR="00B958C6" w:rsidRPr="00A43F2A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43F2A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4525C6" w14:textId="77777777" w:rsidR="00B958C6" w:rsidRPr="00A43F2A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r w:rsidRPr="00A43F2A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Horodateurs de 8h30 à 19h30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BC6F065" w14:textId="77777777" w:rsidR="00B958C6" w:rsidRPr="00A43F2A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43F2A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958C6" w:rsidRPr="00902269" w14:paraId="4A052E8A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1D595EB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9E53416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Durée limitée à </w:t>
            </w:r>
            <w:r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11</w:t>
            </w:r>
            <w:r w:rsidRPr="00902269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heures</w:t>
            </w:r>
            <w:r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sans report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90BF00F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958C6" w:rsidRPr="00902269" w14:paraId="331B0F02" w14:textId="77777777" w:rsidTr="00A31EC8">
        <w:trPr>
          <w:trHeight w:val="300"/>
          <w:jc w:val="center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3D73BB9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Heure de jour (8h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30</w:t>
            </w: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à 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19</w:t>
            </w: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h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30</w:t>
            </w:r>
            <w:r w:rsidRPr="00902269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) - Tarif au 1/4 d'heure</w:t>
            </w:r>
          </w:p>
        </w:tc>
      </w:tr>
      <w:tr w:rsidR="00B958C6" w:rsidRPr="00902269" w14:paraId="19655955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1A9" w14:textId="77777777" w:rsidR="00B958C6" w:rsidRPr="00902269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Les 8 premières heures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362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0,3</w:t>
            </w: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D8E9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902269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902269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1/4 d'heure</w:t>
            </w:r>
          </w:p>
        </w:tc>
      </w:tr>
      <w:tr w:rsidR="00B958C6" w:rsidRPr="00902269" w14:paraId="7CB478FE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E0ED" w14:textId="77777777" w:rsidR="00B958C6" w:rsidRPr="00902269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Entre la 8</w:t>
            </w:r>
            <w:r w:rsidRPr="008B66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et la 10</w:t>
            </w:r>
            <w:r w:rsidRPr="008B66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heure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D623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1,20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0E817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 1/4 d’heure</w:t>
            </w:r>
          </w:p>
        </w:tc>
      </w:tr>
      <w:tr w:rsidR="00B958C6" w:rsidRPr="00902269" w14:paraId="6ED67076" w14:textId="77777777" w:rsidTr="00A31EC8">
        <w:trPr>
          <w:trHeight w:val="300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2C8" w14:textId="77777777" w:rsidR="00B958C6" w:rsidRPr="00902269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>Entre la 10</w:t>
            </w:r>
            <w:r w:rsidRPr="008B66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et la 11</w:t>
            </w:r>
            <w:r w:rsidRPr="008B66E0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heure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BE5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E56D8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902269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par</w:t>
            </w:r>
            <w:proofErr w:type="gramEnd"/>
            <w:r w:rsidRPr="00902269"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1/4 d'heure</w:t>
            </w:r>
          </w:p>
        </w:tc>
      </w:tr>
      <w:tr w:rsidR="00B958C6" w:rsidRPr="00902269" w14:paraId="42A7D354" w14:textId="77777777" w:rsidTr="00A31EC8">
        <w:trPr>
          <w:trHeight w:val="315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076" w14:textId="77777777" w:rsidR="00B958C6" w:rsidRPr="00902269" w:rsidRDefault="00B958C6" w:rsidP="00A31EC8">
            <w:pPr>
              <w:spacing w:after="0" w:line="240" w:lineRule="auto"/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02269">
              <w:rPr>
                <w:rFonts w:ascii="Dax-Regular" w:eastAsia="Times New Roman" w:hAnsi="Dax-Regular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Forfait de post-stationnement 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C806D" w14:textId="77777777" w:rsidR="00B958C6" w:rsidRPr="00902269" w:rsidRDefault="00B958C6" w:rsidP="00A31EC8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>28</w:t>
            </w:r>
            <w:r w:rsidRPr="00902269">
              <w:rPr>
                <w:rFonts w:ascii="Dax-Regular" w:eastAsia="Times New Roman" w:hAnsi="Dax-Regular" w:cs="Calibri"/>
                <w:color w:val="000000"/>
                <w:sz w:val="20"/>
                <w:szCs w:val="20"/>
                <w:lang w:eastAsia="fr-FR"/>
              </w:rPr>
              <w:t xml:space="preserve">,00  </w:t>
            </w:r>
          </w:p>
        </w:tc>
      </w:tr>
    </w:tbl>
    <w:p w14:paraId="3B630F6A" w14:textId="0E3D88E1" w:rsidR="00AF18AA" w:rsidRDefault="00AF18AA" w:rsidP="00B958C6">
      <w:pPr>
        <w:jc w:val="both"/>
        <w:rPr>
          <w:rFonts w:ascii="Dax-Regular" w:hAnsi="Dax-Regular"/>
          <w:sz w:val="24"/>
          <w:szCs w:val="24"/>
        </w:rPr>
      </w:pPr>
    </w:p>
    <w:p w14:paraId="7F482843" w14:textId="5434A94A" w:rsidR="005921C2" w:rsidRDefault="005921C2">
      <w:pPr>
        <w:rPr>
          <w:rFonts w:ascii="Dax-Regular" w:hAnsi="Dax-Regular"/>
          <w:sz w:val="24"/>
          <w:szCs w:val="24"/>
        </w:rPr>
      </w:pPr>
    </w:p>
    <w:p w14:paraId="771AA57E" w14:textId="31686A5C" w:rsidR="00522767" w:rsidRPr="00FD5DE8" w:rsidRDefault="00643B64" w:rsidP="00522767">
      <w:pPr>
        <w:pStyle w:val="Paragraphedeliste"/>
        <w:numPr>
          <w:ilvl w:val="0"/>
          <w:numId w:val="37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TARIF </w:t>
      </w:r>
      <w:r w:rsidR="00522767" w:rsidRPr="00FD5DE8">
        <w:rPr>
          <w:rFonts w:ascii="Dax-Regular" w:hAnsi="Dax-Regular"/>
          <w:sz w:val="24"/>
          <w:szCs w:val="24"/>
        </w:rPr>
        <w:t>Parking Hôteliers (accès via Parking Iles d’Or)</w:t>
      </w:r>
    </w:p>
    <w:p w14:paraId="544BD0E0" w14:textId="77777777" w:rsidR="00522767" w:rsidRDefault="00522767" w:rsidP="00522767">
      <w:pPr>
        <w:jc w:val="both"/>
        <w:rPr>
          <w:rFonts w:ascii="Dax-Regular" w:hAnsi="Dax-Regular"/>
          <w:sz w:val="24"/>
          <w:szCs w:val="24"/>
        </w:rPr>
      </w:pPr>
    </w:p>
    <w:tbl>
      <w:tblPr>
        <w:tblW w:w="6780" w:type="dxa"/>
        <w:tblInd w:w="1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60"/>
      </w:tblGrid>
      <w:tr w:rsidR="00AF18AA" w:rsidRPr="00CF03A2" w14:paraId="185F59E6" w14:textId="77777777" w:rsidTr="00CA6373">
        <w:trPr>
          <w:trHeight w:val="2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33B588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color w:val="000000"/>
                <w:lang w:eastAsia="fr-FR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0866DE" w14:textId="55890A82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Parking 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« </w:t>
            </w: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Abonnés </w:t>
            </w:r>
            <w:r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hôteliers »</w:t>
            </w:r>
          </w:p>
        </w:tc>
      </w:tr>
      <w:tr w:rsidR="00AF18AA" w:rsidRPr="00CF03A2" w14:paraId="0B180D91" w14:textId="77777777" w:rsidTr="00CA6373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087ACA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5B4DA1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lang w:eastAsia="fr-FR"/>
              </w:rPr>
              <w:t>TARIF TTC en Euros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EBE06CE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</w:t>
            </w:r>
          </w:p>
        </w:tc>
      </w:tr>
      <w:tr w:rsidR="00AF18AA" w:rsidRPr="00CF03A2" w14:paraId="27747DDA" w14:textId="77777777" w:rsidTr="00CA6373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CD298D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BFD0B4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Période idem </w:t>
            </w:r>
            <w:proofErr w:type="spellStart"/>
            <w:r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>Pärking</w:t>
            </w:r>
            <w:proofErr w:type="spellEnd"/>
            <w:r>
              <w:rPr>
                <w:rFonts w:ascii="Dax-Regular" w:eastAsia="Times New Roman" w:hAnsi="Dax-Regular" w:cs="Calibri"/>
                <w:color w:val="000000"/>
                <w:sz w:val="18"/>
                <w:szCs w:val="18"/>
                <w:lang w:eastAsia="fr-FR"/>
              </w:rPr>
              <w:t xml:space="preserve"> Iles d’Or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B65200" w14:textId="77777777" w:rsidR="00AF18AA" w:rsidRPr="00CF03A2" w:rsidRDefault="00AF18AA" w:rsidP="00CA6373">
            <w:pPr>
              <w:spacing w:after="0" w:line="240" w:lineRule="auto"/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</w:t>
            </w:r>
          </w:p>
        </w:tc>
      </w:tr>
      <w:tr w:rsidR="00AF18AA" w:rsidRPr="00CF03A2" w14:paraId="54F9084B" w14:textId="77777777" w:rsidTr="00CA6373">
        <w:trPr>
          <w:trHeight w:val="63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E259" w14:textId="77777777" w:rsidR="00AF18AA" w:rsidRPr="00CF03A2" w:rsidRDefault="00AF18AA" w:rsidP="00CA6373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color w:val="000000"/>
                <w:lang w:eastAsia="fr-FR"/>
              </w:rPr>
            </w:pPr>
            <w:r w:rsidRPr="00CF03A2">
              <w:rPr>
                <w:rFonts w:ascii="Dax-Regular" w:eastAsia="Times New Roman" w:hAnsi="Dax-Regular" w:cs="Calibri"/>
                <w:color w:val="000000"/>
                <w:lang w:eastAsia="fr-FR"/>
              </w:rPr>
              <w:t xml:space="preserve">Abonnement saison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4C1E" w14:textId="77777777" w:rsidR="00AF18AA" w:rsidRPr="00CF03A2" w:rsidRDefault="00AF18AA" w:rsidP="00CA6373">
            <w:pPr>
              <w:spacing w:after="0" w:line="240" w:lineRule="auto"/>
              <w:jc w:val="center"/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</w:pPr>
            <w:r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>550</w:t>
            </w:r>
            <w:r w:rsidRPr="00CF03A2">
              <w:rPr>
                <w:rFonts w:ascii="Dax-Regular" w:eastAsia="Times New Roman" w:hAnsi="Dax-Regular" w:cs="Calibri"/>
                <w:b/>
                <w:bCs/>
                <w:color w:val="000000"/>
                <w:lang w:eastAsia="fr-FR"/>
              </w:rPr>
              <w:t xml:space="preserve">,00 </w:t>
            </w:r>
            <w:r w:rsidRPr="00CF0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29290046" w14:textId="77777777" w:rsidR="00AF18AA" w:rsidRDefault="00AF18AA" w:rsidP="00522767">
      <w:pPr>
        <w:jc w:val="both"/>
        <w:rPr>
          <w:rFonts w:ascii="Dax-Regular" w:hAnsi="Dax-Regular"/>
          <w:sz w:val="24"/>
          <w:szCs w:val="24"/>
        </w:rPr>
      </w:pPr>
    </w:p>
    <w:p w14:paraId="3552466A" w14:textId="47D5C6D7" w:rsidR="00B958C6" w:rsidRPr="00627A01" w:rsidRDefault="00B958C6" w:rsidP="0025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627A01">
        <w:rPr>
          <w:rFonts w:ascii="Dax-Regular" w:hAnsi="Dax-Regular"/>
          <w:b/>
          <w:sz w:val="28"/>
          <w:szCs w:val="28"/>
          <w:u w:val="single"/>
        </w:rPr>
        <w:lastRenderedPageBreak/>
        <w:t>ARTICLE 5 -</w:t>
      </w:r>
      <w:r w:rsidRPr="00627A01">
        <w:rPr>
          <w:rFonts w:ascii="Dax-Regular" w:hAnsi="Dax-Regular"/>
          <w:sz w:val="28"/>
          <w:szCs w:val="28"/>
          <w:u w:val="single"/>
        </w:rPr>
        <w:t xml:space="preserve"> CARBURANT </w:t>
      </w:r>
    </w:p>
    <w:p w14:paraId="0CEA7352" w14:textId="77777777" w:rsidR="00B958C6" w:rsidRPr="005921C2" w:rsidRDefault="00B958C6" w:rsidP="00B958C6">
      <w:pPr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Le carburant destiné au fonctionnement des navires de plaisance qui avitaillent au Port du Lavandou est fourni à la régie du port par le titulaire du contrat pour des prestations d’approvisionnement en vrac de divers produits pétroliers au profit de la station d’avitaillement du port du Lavandou.</w:t>
      </w:r>
    </w:p>
    <w:p w14:paraId="1956B9A1" w14:textId="77777777" w:rsidR="00B958C6" w:rsidRPr="005921C2" w:rsidRDefault="00B958C6" w:rsidP="00B958C6">
      <w:pPr>
        <w:jc w:val="both"/>
        <w:rPr>
          <w:rFonts w:ascii="Dax-Regular" w:hAnsi="Dax-Regular"/>
        </w:rPr>
      </w:pPr>
      <w:r w:rsidRPr="005921C2">
        <w:rPr>
          <w:rFonts w:ascii="Dax-Regular" w:hAnsi="Dax-Regular"/>
          <w:b/>
        </w:rPr>
        <w:t>Pour les produits classiques :</w:t>
      </w:r>
      <w:r w:rsidRPr="005921C2">
        <w:rPr>
          <w:rFonts w:ascii="Dax-Regular" w:hAnsi="Dax-Regular"/>
        </w:rPr>
        <w:t xml:space="preserve"> tarif clientèle en vigueur au jour de la délivrance du carburant à la régie du port, augmenté de 0,23 </w:t>
      </w:r>
      <w:r w:rsidRPr="005921C2">
        <w:rPr>
          <w:rFonts w:ascii="Times New Roman" w:hAnsi="Times New Roman" w:cs="Times New Roman"/>
        </w:rPr>
        <w:t>€</w:t>
      </w:r>
      <w:r w:rsidRPr="005921C2">
        <w:rPr>
          <w:rFonts w:ascii="Dax-Regular" w:hAnsi="Dax-Regular"/>
        </w:rPr>
        <w:t xml:space="preserve"> TTC.</w:t>
      </w:r>
    </w:p>
    <w:p w14:paraId="2F1C08BE" w14:textId="77777777" w:rsidR="00B958C6" w:rsidRPr="005921C2" w:rsidRDefault="00B958C6" w:rsidP="00B958C6">
      <w:pPr>
        <w:jc w:val="both"/>
        <w:rPr>
          <w:rFonts w:ascii="Dax-Regular" w:hAnsi="Dax-Regular"/>
        </w:rPr>
      </w:pPr>
      <w:r w:rsidRPr="005921C2">
        <w:rPr>
          <w:rFonts w:ascii="Dax-Regular" w:hAnsi="Dax-Regular"/>
          <w:b/>
        </w:rPr>
        <w:t>Pour les produits détaxés :</w:t>
      </w:r>
      <w:r w:rsidRPr="005921C2">
        <w:rPr>
          <w:rFonts w:ascii="Dax-Regular" w:hAnsi="Dax-Regular"/>
        </w:rPr>
        <w:t xml:space="preserve"> tarif clientèle en vigueur au jour de la délivrance du carburant à la régie du port, augmenté de 0,21 </w:t>
      </w:r>
      <w:r w:rsidRPr="005921C2">
        <w:rPr>
          <w:rFonts w:ascii="Times New Roman" w:hAnsi="Times New Roman" w:cs="Times New Roman"/>
        </w:rPr>
        <w:t>€</w:t>
      </w:r>
      <w:r w:rsidRPr="005921C2">
        <w:rPr>
          <w:rFonts w:ascii="Dax-Regular" w:hAnsi="Dax-Regular"/>
        </w:rPr>
        <w:t xml:space="preserve"> HT.</w:t>
      </w:r>
    </w:p>
    <w:p w14:paraId="1473F661" w14:textId="77777777" w:rsidR="00223B8E" w:rsidRPr="00FC024B" w:rsidRDefault="00223B8E" w:rsidP="00B958C6">
      <w:pPr>
        <w:jc w:val="both"/>
        <w:rPr>
          <w:rFonts w:ascii="Dax-Regular" w:hAnsi="Dax-Regular"/>
        </w:rPr>
      </w:pPr>
    </w:p>
    <w:p w14:paraId="61881DCA" w14:textId="77777777" w:rsidR="00B958C6" w:rsidRPr="008604C8" w:rsidRDefault="00B958C6" w:rsidP="00B9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ind w:left="-142"/>
        <w:rPr>
          <w:rFonts w:ascii="Dax-Regular" w:hAnsi="Dax-Regular"/>
          <w:sz w:val="28"/>
          <w:szCs w:val="28"/>
          <w:u w:val="single"/>
        </w:rPr>
      </w:pPr>
      <w:r w:rsidRPr="004206BC">
        <w:rPr>
          <w:rFonts w:ascii="Dax-Regular" w:hAnsi="Dax-Regular"/>
          <w:b/>
          <w:sz w:val="28"/>
          <w:szCs w:val="28"/>
          <w:u w:val="single"/>
        </w:rPr>
        <w:t xml:space="preserve">ARTICLE </w:t>
      </w:r>
      <w:r>
        <w:rPr>
          <w:rFonts w:ascii="Dax-Regular" w:hAnsi="Dax-Regular"/>
          <w:b/>
          <w:sz w:val="28"/>
          <w:szCs w:val="28"/>
          <w:u w:val="single"/>
        </w:rPr>
        <w:t xml:space="preserve">6 - </w:t>
      </w:r>
      <w:r>
        <w:rPr>
          <w:rFonts w:ascii="Dax-Regular" w:hAnsi="Dax-Regular"/>
          <w:sz w:val="28"/>
          <w:szCs w:val="28"/>
          <w:u w:val="single"/>
        </w:rPr>
        <w:t xml:space="preserve">FOURNITURES DES FLUIDES   </w:t>
      </w:r>
      <w:r w:rsidRPr="008604C8">
        <w:rPr>
          <w:rFonts w:ascii="Dax-Regular" w:hAnsi="Dax-Regular"/>
          <w:sz w:val="28"/>
          <w:szCs w:val="28"/>
          <w:u w:val="single"/>
        </w:rPr>
        <w:t xml:space="preserve"> </w:t>
      </w:r>
    </w:p>
    <w:p w14:paraId="3DEBB423" w14:textId="77777777" w:rsidR="00B958C6" w:rsidRDefault="00B958C6" w:rsidP="00B958C6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166A6FD2" w14:textId="77777777" w:rsidR="00B958C6" w:rsidRPr="005921C2" w:rsidRDefault="00B958C6" w:rsidP="00B958C6">
      <w:pPr>
        <w:pStyle w:val="Paragraphedeliste"/>
        <w:ind w:left="-284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Concernant les titulaires de droit d’usage, la fourniture des fluides est comprise dans les frais de fonctionnement</w:t>
      </w:r>
    </w:p>
    <w:p w14:paraId="0694DCF5" w14:textId="77777777" w:rsidR="00B958C6" w:rsidRDefault="00B958C6" w:rsidP="00B958C6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17ED57E8" w14:textId="77777777" w:rsidR="00B958C6" w:rsidRPr="00E90B8E" w:rsidRDefault="00B958C6" w:rsidP="00B958C6">
      <w:pPr>
        <w:pStyle w:val="Paragraphedeliste"/>
        <w:numPr>
          <w:ilvl w:val="0"/>
          <w:numId w:val="36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 w:rsidRPr="00E90B8E">
        <w:rPr>
          <w:rFonts w:ascii="Dax-Regular" w:hAnsi="Dax-Regular"/>
          <w:sz w:val="24"/>
          <w:szCs w:val="24"/>
        </w:rPr>
        <w:t>Eau douce </w:t>
      </w:r>
    </w:p>
    <w:p w14:paraId="07521BE7" w14:textId="77777777" w:rsidR="00B958C6" w:rsidRPr="005921C2" w:rsidRDefault="00B958C6" w:rsidP="00B958C6">
      <w:pPr>
        <w:ind w:left="426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La fourniture d’eau douce à quai est comprise dans la redevance de stationnement et d’amarrage des usagers.</w:t>
      </w:r>
    </w:p>
    <w:p w14:paraId="74051E5E" w14:textId="77777777" w:rsidR="00B958C6" w:rsidRPr="005921C2" w:rsidRDefault="00B958C6" w:rsidP="00B958C6">
      <w:pPr>
        <w:ind w:left="426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En période de sècheresse ou de pénurie d’eau, la distribution d’eau potable peut être limitée dans le temps et, la consommation limitée en volume.</w:t>
      </w:r>
    </w:p>
    <w:p w14:paraId="39B36234" w14:textId="77777777" w:rsidR="00B958C6" w:rsidRPr="00E90B8E" w:rsidRDefault="00B958C6" w:rsidP="00B958C6">
      <w:pPr>
        <w:pStyle w:val="Paragraphedeliste"/>
        <w:numPr>
          <w:ilvl w:val="0"/>
          <w:numId w:val="36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r w:rsidRPr="00E90B8E">
        <w:rPr>
          <w:rFonts w:ascii="Dax-Regular" w:hAnsi="Dax-Regular"/>
          <w:sz w:val="24"/>
          <w:szCs w:val="24"/>
        </w:rPr>
        <w:t xml:space="preserve">Energie électrique </w:t>
      </w:r>
    </w:p>
    <w:p w14:paraId="31CB2FF8" w14:textId="77777777" w:rsidR="00B958C6" w:rsidRPr="005921C2" w:rsidRDefault="00B958C6" w:rsidP="00B958C6">
      <w:pPr>
        <w:ind w:left="426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>La fourniture d’énergie électrique est comprise dans la redevance de stationnement d’amarrage des usagers.</w:t>
      </w:r>
    </w:p>
    <w:p w14:paraId="140E603E" w14:textId="61719F28" w:rsidR="00B958C6" w:rsidRPr="000F2B2B" w:rsidRDefault="00B958C6" w:rsidP="00B958C6">
      <w:pPr>
        <w:pStyle w:val="Paragraphedeliste"/>
        <w:numPr>
          <w:ilvl w:val="0"/>
          <w:numId w:val="36"/>
        </w:numPr>
        <w:shd w:val="clear" w:color="auto" w:fill="F7CAAC" w:themeFill="accent2" w:themeFillTint="66"/>
        <w:jc w:val="both"/>
        <w:rPr>
          <w:rFonts w:ascii="Dax-Regular" w:hAnsi="Dax-Regular"/>
          <w:sz w:val="24"/>
          <w:szCs w:val="24"/>
        </w:rPr>
      </w:pPr>
      <w:bookmarkStart w:id="3" w:name="_Hlk117167333"/>
      <w:r>
        <w:rPr>
          <w:rFonts w:ascii="Dax-Regular" w:hAnsi="Dax-Regular"/>
          <w:sz w:val="24"/>
          <w:szCs w:val="24"/>
        </w:rPr>
        <w:t>Fourniture d’eau potable pour les plaisanciers en escale (journée)</w:t>
      </w:r>
    </w:p>
    <w:bookmarkEnd w:id="3"/>
    <w:p w14:paraId="068ED550" w14:textId="77777777" w:rsidR="00B958C6" w:rsidRDefault="00B958C6" w:rsidP="00B958C6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p w14:paraId="309A06AD" w14:textId="23067475" w:rsidR="00B958C6" w:rsidRDefault="00B958C6" w:rsidP="00B958C6">
      <w:pPr>
        <w:pStyle w:val="Paragraphedeliste"/>
        <w:jc w:val="both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Dans le cas de consommation d’eau </w:t>
      </w:r>
      <w:r w:rsidRPr="00223891">
        <w:rPr>
          <w:rFonts w:ascii="Dax-Regular" w:hAnsi="Dax-Regular"/>
          <w:b/>
          <w:sz w:val="24"/>
          <w:szCs w:val="24"/>
          <w:u w:val="single"/>
        </w:rPr>
        <w:t>par les plaisanciers en escale</w:t>
      </w:r>
      <w:r w:rsidR="00762772">
        <w:rPr>
          <w:rFonts w:ascii="Dax-Regular" w:hAnsi="Dax-Regular"/>
          <w:b/>
          <w:sz w:val="24"/>
          <w:szCs w:val="24"/>
          <w:u w:val="single"/>
        </w:rPr>
        <w:t xml:space="preserve"> uniquement en journée</w:t>
      </w:r>
      <w:r>
        <w:rPr>
          <w:rFonts w:ascii="Dax-Regular" w:hAnsi="Dax-Regular"/>
          <w:sz w:val="24"/>
          <w:szCs w:val="24"/>
        </w:rPr>
        <w:t>, un forfait sera facturé aux conditions ci-après :</w:t>
      </w:r>
    </w:p>
    <w:p w14:paraId="3567F5E5" w14:textId="77777777" w:rsidR="00B958C6" w:rsidRDefault="00B958C6" w:rsidP="00B958C6">
      <w:pPr>
        <w:pStyle w:val="Paragraphedeliste"/>
        <w:jc w:val="both"/>
        <w:rPr>
          <w:rFonts w:ascii="Dax-Regular" w:hAnsi="Dax-Regular"/>
          <w:sz w:val="24"/>
          <w:szCs w:val="24"/>
        </w:rPr>
      </w:pPr>
    </w:p>
    <w:tbl>
      <w:tblPr>
        <w:tblStyle w:val="Grilledutableau"/>
        <w:tblW w:w="8385" w:type="dxa"/>
        <w:tblInd w:w="720" w:type="dxa"/>
        <w:tblLook w:val="04A0" w:firstRow="1" w:lastRow="0" w:firstColumn="1" w:lastColumn="0" w:noHBand="0" w:noVBand="1"/>
      </w:tblPr>
      <w:tblGrid>
        <w:gridCol w:w="4687"/>
        <w:gridCol w:w="1852"/>
        <w:gridCol w:w="1846"/>
      </w:tblGrid>
      <w:tr w:rsidR="00B958C6" w14:paraId="3ABC15C5" w14:textId="77777777" w:rsidTr="00A31EC8">
        <w:trPr>
          <w:trHeight w:val="523"/>
        </w:trPr>
        <w:tc>
          <w:tcPr>
            <w:tcW w:w="4687" w:type="dxa"/>
            <w:shd w:val="clear" w:color="auto" w:fill="DEEAF6" w:themeFill="accent1" w:themeFillTint="33"/>
          </w:tcPr>
          <w:p w14:paraId="705129DB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b/>
                <w:sz w:val="20"/>
                <w:szCs w:val="20"/>
              </w:rPr>
            </w:pPr>
          </w:p>
          <w:p w14:paraId="74BFA453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b/>
                <w:sz w:val="20"/>
                <w:szCs w:val="20"/>
              </w:rPr>
            </w:pPr>
            <w:r w:rsidRPr="004D69B8">
              <w:rPr>
                <w:rFonts w:ascii="Dax-Regular" w:hAnsi="Dax-Regular"/>
                <w:b/>
                <w:sz w:val="20"/>
                <w:szCs w:val="20"/>
              </w:rPr>
              <w:t>Taille du navire</w:t>
            </w:r>
          </w:p>
          <w:p w14:paraId="77100866" w14:textId="77777777" w:rsidR="00B958C6" w:rsidRPr="0044160E" w:rsidRDefault="00B958C6" w:rsidP="00A31EC8">
            <w:pPr>
              <w:rPr>
                <w:rFonts w:ascii="Dax-Regular" w:hAnsi="Dax-Regular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EEAF6" w:themeFill="accent1" w:themeFillTint="33"/>
          </w:tcPr>
          <w:p w14:paraId="3D1F21D3" w14:textId="77777777" w:rsidR="00B958C6" w:rsidRPr="00A722D1" w:rsidRDefault="00B958C6" w:rsidP="00A31EC8">
            <w:pPr>
              <w:pStyle w:val="Paragraphedeliste"/>
              <w:ind w:left="426"/>
              <w:rPr>
                <w:rFonts w:ascii="Dax-Regular" w:hAnsi="Dax-Regular"/>
                <w:bCs/>
                <w:sz w:val="20"/>
                <w:szCs w:val="20"/>
              </w:rPr>
            </w:pPr>
          </w:p>
          <w:p w14:paraId="6E615D5D" w14:textId="77777777" w:rsidR="00B958C6" w:rsidRPr="00A722D1" w:rsidRDefault="00B958C6" w:rsidP="00A31EC8">
            <w:pPr>
              <w:pStyle w:val="Paragraphedeliste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2D1">
              <w:rPr>
                <w:rFonts w:ascii="Dax-Regular" w:hAnsi="Dax-Regular"/>
                <w:bCs/>
                <w:sz w:val="20"/>
                <w:szCs w:val="20"/>
              </w:rPr>
              <w:t xml:space="preserve">TARIF HT en </w:t>
            </w:r>
            <w:r w:rsidRPr="00A722D1">
              <w:rPr>
                <w:rFonts w:ascii="Times New Roman" w:hAnsi="Times New Roman" w:cs="Times New Roman"/>
                <w:bCs/>
                <w:sz w:val="20"/>
                <w:szCs w:val="20"/>
              </w:rPr>
              <w:t>€</w:t>
            </w:r>
          </w:p>
        </w:tc>
        <w:tc>
          <w:tcPr>
            <w:tcW w:w="1846" w:type="dxa"/>
            <w:shd w:val="clear" w:color="auto" w:fill="DEEAF6" w:themeFill="accent1" w:themeFillTint="33"/>
          </w:tcPr>
          <w:p w14:paraId="28479E17" w14:textId="77777777" w:rsidR="00B958C6" w:rsidRDefault="00B958C6" w:rsidP="00A31EC8">
            <w:pPr>
              <w:pStyle w:val="Paragraphedeliste"/>
              <w:ind w:left="426"/>
              <w:rPr>
                <w:rFonts w:ascii="Dax-Regular" w:hAnsi="Dax-Regular"/>
                <w:b/>
                <w:sz w:val="20"/>
                <w:szCs w:val="20"/>
              </w:rPr>
            </w:pPr>
          </w:p>
          <w:p w14:paraId="5E88A202" w14:textId="77777777" w:rsidR="00B958C6" w:rsidRPr="0044160E" w:rsidRDefault="00B958C6" w:rsidP="00A31EC8">
            <w:pPr>
              <w:pStyle w:val="Paragraphedeliste"/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B8">
              <w:rPr>
                <w:rFonts w:ascii="Dax-Regular" w:hAnsi="Dax-Regular"/>
                <w:b/>
                <w:sz w:val="20"/>
                <w:szCs w:val="20"/>
              </w:rPr>
              <w:t>TARIF TTC</w:t>
            </w:r>
            <w:r>
              <w:rPr>
                <w:rFonts w:ascii="Dax-Regular" w:hAnsi="Dax-Regular"/>
                <w:b/>
                <w:sz w:val="20"/>
                <w:szCs w:val="20"/>
              </w:rPr>
              <w:t xml:space="preserve"> en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  <w:tr w:rsidR="00B958C6" w14:paraId="5F830E38" w14:textId="77777777" w:rsidTr="00A31EC8">
        <w:trPr>
          <w:trHeight w:val="505"/>
        </w:trPr>
        <w:tc>
          <w:tcPr>
            <w:tcW w:w="4687" w:type="dxa"/>
          </w:tcPr>
          <w:p w14:paraId="5C9C07BF" w14:textId="77777777" w:rsidR="00B958C6" w:rsidRDefault="00B958C6" w:rsidP="00A31EC8">
            <w:pPr>
              <w:pStyle w:val="Paragraphedeliste"/>
              <w:ind w:left="426"/>
              <w:jc w:val="both"/>
              <w:rPr>
                <w:rFonts w:ascii="Dax-Regular" w:hAnsi="Dax-Regular"/>
                <w:sz w:val="20"/>
                <w:szCs w:val="20"/>
              </w:rPr>
            </w:pPr>
          </w:p>
          <w:p w14:paraId="68E21AC7" w14:textId="77777777" w:rsidR="00B958C6" w:rsidRDefault="00B958C6" w:rsidP="00A31EC8">
            <w:pPr>
              <w:pStyle w:val="Paragraphedeliste"/>
              <w:ind w:left="426"/>
              <w:jc w:val="both"/>
              <w:rPr>
                <w:rFonts w:ascii="Dax-Regular" w:hAnsi="Dax-Regular"/>
                <w:sz w:val="20"/>
                <w:szCs w:val="20"/>
              </w:rPr>
            </w:pPr>
            <w:r>
              <w:rPr>
                <w:rFonts w:ascii="Dax-Regular" w:hAnsi="Dax-Regular"/>
                <w:sz w:val="20"/>
                <w:szCs w:val="20"/>
              </w:rPr>
              <w:t xml:space="preserve">Navire jusqu’à </w:t>
            </w:r>
            <w:r w:rsidRPr="00FD5DE8">
              <w:rPr>
                <w:rFonts w:ascii="Dax-Regular" w:hAnsi="Dax-Regular"/>
                <w:sz w:val="20"/>
                <w:szCs w:val="20"/>
              </w:rPr>
              <w:t>10 m</w:t>
            </w:r>
          </w:p>
          <w:p w14:paraId="452A2FD1" w14:textId="77777777" w:rsidR="00B958C6" w:rsidRPr="004D69B8" w:rsidRDefault="00B958C6" w:rsidP="00A31EC8">
            <w:pPr>
              <w:pStyle w:val="Paragraphedeliste"/>
              <w:ind w:left="426"/>
              <w:jc w:val="both"/>
              <w:rPr>
                <w:rFonts w:ascii="Dax-Regular" w:hAnsi="Dax-Regular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E793180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sz w:val="20"/>
                <w:szCs w:val="20"/>
              </w:rPr>
            </w:pPr>
          </w:p>
          <w:p w14:paraId="0A6CEDC5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Dax-Regular" w:hAnsi="Dax-Regular"/>
                <w:sz w:val="20"/>
                <w:szCs w:val="20"/>
              </w:rPr>
              <w:t>8,33</w:t>
            </w:r>
          </w:p>
          <w:p w14:paraId="0FEA5232" w14:textId="77777777" w:rsidR="00B958C6" w:rsidRPr="003020DA" w:rsidRDefault="00B958C6" w:rsidP="00A3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B600169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b/>
                <w:sz w:val="20"/>
                <w:szCs w:val="20"/>
              </w:rPr>
            </w:pPr>
          </w:p>
          <w:p w14:paraId="1D22EA4B" w14:textId="77777777" w:rsidR="00B958C6" w:rsidRPr="004D69B8" w:rsidRDefault="00B958C6" w:rsidP="00A31EC8">
            <w:pPr>
              <w:pStyle w:val="Paragraphedeliste"/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B8">
              <w:rPr>
                <w:rFonts w:ascii="Dax-Regular" w:hAnsi="Dax-Regular"/>
                <w:b/>
                <w:sz w:val="20"/>
                <w:szCs w:val="20"/>
              </w:rPr>
              <w:t>10,00</w:t>
            </w:r>
          </w:p>
        </w:tc>
      </w:tr>
      <w:tr w:rsidR="00B958C6" w14:paraId="394892FB" w14:textId="77777777" w:rsidTr="00A31EC8">
        <w:trPr>
          <w:trHeight w:val="523"/>
        </w:trPr>
        <w:tc>
          <w:tcPr>
            <w:tcW w:w="4687" w:type="dxa"/>
          </w:tcPr>
          <w:p w14:paraId="41C5656B" w14:textId="77777777" w:rsidR="00B958C6" w:rsidRDefault="00B958C6" w:rsidP="00A31EC8">
            <w:pPr>
              <w:pStyle w:val="Paragraphedeliste"/>
              <w:ind w:left="426"/>
              <w:jc w:val="both"/>
              <w:rPr>
                <w:rFonts w:ascii="Dax-Regular" w:hAnsi="Dax-Regular"/>
                <w:sz w:val="20"/>
                <w:szCs w:val="20"/>
              </w:rPr>
            </w:pPr>
          </w:p>
          <w:p w14:paraId="4CD08300" w14:textId="77777777" w:rsidR="00B958C6" w:rsidRDefault="00B958C6" w:rsidP="00A31EC8">
            <w:pPr>
              <w:pStyle w:val="Paragraphedeliste"/>
              <w:ind w:left="426"/>
              <w:jc w:val="both"/>
              <w:rPr>
                <w:rFonts w:ascii="Dax-Regular" w:hAnsi="Dax-Regular"/>
                <w:sz w:val="20"/>
                <w:szCs w:val="20"/>
              </w:rPr>
            </w:pPr>
            <w:r>
              <w:rPr>
                <w:rFonts w:ascii="Dax-Regular" w:hAnsi="Dax-Regular"/>
                <w:sz w:val="20"/>
                <w:szCs w:val="20"/>
              </w:rPr>
              <w:t xml:space="preserve">Navire de plus de </w:t>
            </w:r>
            <w:r w:rsidRPr="00FD5DE8">
              <w:rPr>
                <w:rFonts w:ascii="Dax-Regular" w:hAnsi="Dax-Regular"/>
                <w:sz w:val="20"/>
                <w:szCs w:val="20"/>
              </w:rPr>
              <w:t xml:space="preserve">10 m </w:t>
            </w:r>
            <w:r>
              <w:rPr>
                <w:rFonts w:ascii="Dax-Regular" w:hAnsi="Dax-Regular"/>
                <w:sz w:val="20"/>
                <w:szCs w:val="20"/>
              </w:rPr>
              <w:t>et catamaran</w:t>
            </w:r>
          </w:p>
          <w:p w14:paraId="763E7BA0" w14:textId="77777777" w:rsidR="00B958C6" w:rsidRPr="004D69B8" w:rsidRDefault="00B958C6" w:rsidP="00A31EC8">
            <w:pPr>
              <w:pStyle w:val="Paragraphedeliste"/>
              <w:ind w:left="426"/>
              <w:jc w:val="both"/>
              <w:rPr>
                <w:rFonts w:ascii="Dax-Regular" w:hAnsi="Dax-Regular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619A727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sz w:val="20"/>
                <w:szCs w:val="20"/>
              </w:rPr>
            </w:pPr>
          </w:p>
          <w:p w14:paraId="312E7117" w14:textId="77777777" w:rsidR="00B958C6" w:rsidRPr="004D69B8" w:rsidRDefault="00B958C6" w:rsidP="00A31EC8">
            <w:pPr>
              <w:pStyle w:val="Paragraphedeliste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Dax-Regular" w:hAnsi="Dax-Regular"/>
                <w:sz w:val="20"/>
                <w:szCs w:val="20"/>
              </w:rPr>
              <w:t>12,50</w:t>
            </w:r>
          </w:p>
        </w:tc>
        <w:tc>
          <w:tcPr>
            <w:tcW w:w="1846" w:type="dxa"/>
          </w:tcPr>
          <w:p w14:paraId="5DB544BD" w14:textId="77777777" w:rsidR="00B958C6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b/>
                <w:sz w:val="20"/>
                <w:szCs w:val="20"/>
              </w:rPr>
            </w:pPr>
          </w:p>
          <w:p w14:paraId="0E1AE825" w14:textId="77777777" w:rsidR="00B958C6" w:rsidRPr="003020DA" w:rsidRDefault="00B958C6" w:rsidP="00A31EC8">
            <w:pPr>
              <w:pStyle w:val="Paragraphedeliste"/>
              <w:ind w:left="426"/>
              <w:jc w:val="center"/>
              <w:rPr>
                <w:rFonts w:ascii="Dax-Regular" w:hAnsi="Dax-Regular"/>
                <w:b/>
                <w:sz w:val="20"/>
                <w:szCs w:val="20"/>
              </w:rPr>
            </w:pPr>
            <w:r w:rsidRPr="004D69B8">
              <w:rPr>
                <w:rFonts w:ascii="Dax-Regular" w:hAnsi="Dax-Regular"/>
                <w:b/>
                <w:sz w:val="20"/>
                <w:szCs w:val="20"/>
              </w:rPr>
              <w:t>1</w:t>
            </w:r>
            <w:r w:rsidRPr="003020DA">
              <w:rPr>
                <w:rFonts w:ascii="Dax-Regular" w:hAnsi="Dax-Regular"/>
                <w:b/>
                <w:sz w:val="20"/>
                <w:szCs w:val="20"/>
              </w:rPr>
              <w:t>5,00</w:t>
            </w:r>
          </w:p>
        </w:tc>
      </w:tr>
    </w:tbl>
    <w:p w14:paraId="75FF92C8" w14:textId="77777777" w:rsidR="00B958C6" w:rsidRPr="00DE0BAB" w:rsidRDefault="00B958C6" w:rsidP="00B958C6">
      <w:pPr>
        <w:jc w:val="both"/>
        <w:rPr>
          <w:rFonts w:ascii="Dax-Regular" w:hAnsi="Dax-Regular"/>
          <w:sz w:val="24"/>
          <w:szCs w:val="24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352"/>
      </w:tblGrid>
      <w:tr w:rsidR="00B958C6" w14:paraId="18DA740A" w14:textId="77777777" w:rsidTr="00A31EC8">
        <w:tc>
          <w:tcPr>
            <w:tcW w:w="8352" w:type="dxa"/>
            <w:shd w:val="clear" w:color="auto" w:fill="F7CAAC" w:themeFill="accent2" w:themeFillTint="66"/>
          </w:tcPr>
          <w:p w14:paraId="68AEE6D5" w14:textId="77777777" w:rsidR="00B958C6" w:rsidRPr="00DE0BAB" w:rsidRDefault="00B958C6" w:rsidP="00A31EC8">
            <w:pPr>
              <w:jc w:val="both"/>
              <w:rPr>
                <w:rFonts w:ascii="Dax-Regular" w:hAnsi="Dax-Regular"/>
                <w:color w:val="000000" w:themeColor="text1"/>
                <w:sz w:val="24"/>
                <w:szCs w:val="24"/>
              </w:rPr>
            </w:pPr>
            <w:r>
              <w:rPr>
                <w:rFonts w:ascii="Dax-Regular" w:hAnsi="Dax-Regular"/>
                <w:color w:val="000000" w:themeColor="text1"/>
                <w:sz w:val="24"/>
                <w:szCs w:val="24"/>
              </w:rPr>
              <w:t>4</w:t>
            </w:r>
            <w:r w:rsidRPr="00DE0BAB">
              <w:rPr>
                <w:rFonts w:ascii="Dax-Regular" w:hAnsi="Dax-Regular"/>
                <w:color w:val="000000" w:themeColor="text1"/>
                <w:sz w:val="24"/>
                <w:szCs w:val="24"/>
              </w:rPr>
              <w:t>) Pompes à « Eaux noires</w:t>
            </w:r>
            <w:r>
              <w:rPr>
                <w:rFonts w:ascii="Dax-Regular" w:hAnsi="Dax-Regular"/>
                <w:color w:val="000000" w:themeColor="text1"/>
                <w:sz w:val="24"/>
                <w:szCs w:val="24"/>
              </w:rPr>
              <w:t> » et « Eaux grises</w:t>
            </w:r>
            <w:r w:rsidRPr="00DE0BAB">
              <w:rPr>
                <w:rFonts w:ascii="Dax-Regular" w:hAnsi="Dax-Regular"/>
                <w:color w:val="000000" w:themeColor="text1"/>
                <w:sz w:val="24"/>
                <w:szCs w:val="24"/>
              </w:rPr>
              <w:t> »</w:t>
            </w:r>
          </w:p>
        </w:tc>
      </w:tr>
    </w:tbl>
    <w:p w14:paraId="0FA26460" w14:textId="77777777" w:rsidR="00B958C6" w:rsidRPr="005921C2" w:rsidRDefault="00B958C6" w:rsidP="00B958C6">
      <w:pPr>
        <w:jc w:val="both"/>
        <w:rPr>
          <w:rFonts w:ascii="Dax-Regular" w:hAnsi="Dax-Regular"/>
        </w:rPr>
      </w:pPr>
    </w:p>
    <w:p w14:paraId="63F167F3" w14:textId="58FACEF1" w:rsidR="00B958C6" w:rsidRPr="005921C2" w:rsidRDefault="00B958C6" w:rsidP="00B958C6">
      <w:pPr>
        <w:ind w:left="360"/>
        <w:jc w:val="both"/>
        <w:rPr>
          <w:rFonts w:ascii="Dax-Regular" w:hAnsi="Dax-Regular"/>
        </w:rPr>
      </w:pPr>
      <w:r w:rsidRPr="005921C2">
        <w:rPr>
          <w:rFonts w:ascii="Dax-Regular" w:hAnsi="Dax-Regular"/>
        </w:rPr>
        <w:t xml:space="preserve">Une pompe à eaux noires fixe, en place sur le quai de la station d’avitaillement, est à la disposition des plaisanciers </w:t>
      </w:r>
      <w:r w:rsidR="00F33A2B" w:rsidRPr="005921C2">
        <w:rPr>
          <w:rFonts w:ascii="Dax-Regular" w:hAnsi="Dax-Regular"/>
          <w:bCs/>
        </w:rPr>
        <w:t>gratuitement</w:t>
      </w:r>
      <w:r w:rsidRPr="005921C2">
        <w:rPr>
          <w:rFonts w:ascii="Dax-Regular" w:hAnsi="Dax-Regular"/>
        </w:rPr>
        <w:t>.</w:t>
      </w:r>
    </w:p>
    <w:p w14:paraId="41855347" w14:textId="77777777" w:rsidR="00762772" w:rsidRDefault="00762772" w:rsidP="00B958C6">
      <w:pPr>
        <w:ind w:left="360"/>
        <w:jc w:val="both"/>
        <w:rPr>
          <w:rFonts w:ascii="Dax-Regular" w:hAnsi="Dax-Regular"/>
          <w:sz w:val="24"/>
          <w:szCs w:val="24"/>
        </w:rPr>
      </w:pPr>
    </w:p>
    <w:p w14:paraId="2E317133" w14:textId="77777777" w:rsidR="005921C2" w:rsidRDefault="005921C2" w:rsidP="00B958C6">
      <w:pPr>
        <w:ind w:left="360"/>
        <w:jc w:val="both"/>
        <w:rPr>
          <w:rFonts w:ascii="Dax-Regular" w:hAnsi="Dax-Regular"/>
          <w:sz w:val="24"/>
          <w:szCs w:val="24"/>
        </w:rPr>
      </w:pPr>
    </w:p>
    <w:p w14:paraId="6E5B6C5D" w14:textId="77777777" w:rsidR="00B958C6" w:rsidRPr="005921C2" w:rsidRDefault="00B958C6" w:rsidP="0059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Dax-Regular" w:hAnsi="Dax-Regular"/>
          <w:i/>
          <w:iCs/>
          <w:sz w:val="28"/>
          <w:szCs w:val="28"/>
        </w:rPr>
      </w:pPr>
      <w:r w:rsidRPr="005921C2">
        <w:rPr>
          <w:rFonts w:ascii="Dax-Regular" w:hAnsi="Dax-Regular"/>
          <w:i/>
          <w:iCs/>
          <w:sz w:val="28"/>
          <w:szCs w:val="28"/>
        </w:rPr>
        <w:t xml:space="preserve">CONDITIONS GENERALES </w:t>
      </w:r>
    </w:p>
    <w:p w14:paraId="2AF9863E" w14:textId="27944945" w:rsidR="00B958C6" w:rsidRPr="005921C2" w:rsidRDefault="00B958C6" w:rsidP="0059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Dax-Regular" w:hAnsi="Dax-Regular"/>
          <w:i/>
          <w:iCs/>
          <w:sz w:val="24"/>
          <w:szCs w:val="24"/>
        </w:rPr>
      </w:pPr>
      <w:r w:rsidRPr="005921C2">
        <w:rPr>
          <w:rFonts w:ascii="Dax-Regular" w:hAnsi="Dax-Regular"/>
          <w:i/>
          <w:iCs/>
          <w:sz w:val="24"/>
          <w:szCs w:val="24"/>
        </w:rPr>
        <w:t>L’ensemble des redevances telles que prévues dans le</w:t>
      </w:r>
      <w:r w:rsidR="00AF18AA" w:rsidRPr="005921C2">
        <w:rPr>
          <w:rFonts w:ascii="Dax-Regular" w:hAnsi="Dax-Regular"/>
          <w:i/>
          <w:iCs/>
          <w:sz w:val="24"/>
          <w:szCs w:val="24"/>
        </w:rPr>
        <w:t>s</w:t>
      </w:r>
      <w:r w:rsidRPr="005921C2">
        <w:rPr>
          <w:rFonts w:ascii="Dax-Regular" w:hAnsi="Dax-Regular"/>
          <w:i/>
          <w:iCs/>
          <w:sz w:val="24"/>
          <w:szCs w:val="24"/>
        </w:rPr>
        <w:t xml:space="preserve"> présent</w:t>
      </w:r>
      <w:r w:rsidR="00AF18AA" w:rsidRPr="005921C2">
        <w:rPr>
          <w:rFonts w:ascii="Dax-Regular" w:hAnsi="Dax-Regular"/>
          <w:i/>
          <w:iCs/>
          <w:sz w:val="24"/>
          <w:szCs w:val="24"/>
        </w:rPr>
        <w:t>s</w:t>
      </w:r>
      <w:r w:rsidRPr="005921C2">
        <w:rPr>
          <w:rFonts w:ascii="Dax-Regular" w:hAnsi="Dax-Regular"/>
          <w:i/>
          <w:iCs/>
          <w:sz w:val="24"/>
          <w:szCs w:val="24"/>
        </w:rPr>
        <w:t xml:space="preserve"> tarif</w:t>
      </w:r>
      <w:r w:rsidR="00AF18AA" w:rsidRPr="005921C2">
        <w:rPr>
          <w:rFonts w:ascii="Dax-Regular" w:hAnsi="Dax-Regular"/>
          <w:i/>
          <w:iCs/>
          <w:sz w:val="24"/>
          <w:szCs w:val="24"/>
        </w:rPr>
        <w:t>s</w:t>
      </w:r>
      <w:r w:rsidRPr="005921C2">
        <w:rPr>
          <w:rFonts w:ascii="Dax-Regular" w:hAnsi="Dax-Regular"/>
          <w:i/>
          <w:iCs/>
          <w:sz w:val="24"/>
          <w:szCs w:val="24"/>
        </w:rPr>
        <w:t xml:space="preserve"> sont à la charge du propriétaire du navire, et doivent être réglées pour la période d’occupation qui aura été autorisée.</w:t>
      </w:r>
    </w:p>
    <w:p w14:paraId="2AD4B147" w14:textId="64F3316E" w:rsidR="00B958C6" w:rsidRPr="005921C2" w:rsidRDefault="00B958C6" w:rsidP="0059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Dax-Regular" w:hAnsi="Dax-Regular"/>
          <w:i/>
          <w:iCs/>
          <w:sz w:val="24"/>
          <w:szCs w:val="24"/>
        </w:rPr>
      </w:pPr>
      <w:r w:rsidRPr="005921C2">
        <w:rPr>
          <w:rFonts w:ascii="Dax-Regular" w:hAnsi="Dax-Regular"/>
          <w:i/>
          <w:iCs/>
          <w:sz w:val="24"/>
          <w:szCs w:val="24"/>
        </w:rPr>
        <w:t xml:space="preserve">Le non-paiement donnera lieu à </w:t>
      </w:r>
      <w:r w:rsidR="00814228" w:rsidRPr="005921C2">
        <w:rPr>
          <w:rFonts w:ascii="Dax-Regular" w:hAnsi="Dax-Regular"/>
          <w:i/>
          <w:iCs/>
          <w:sz w:val="24"/>
          <w:szCs w:val="24"/>
        </w:rPr>
        <w:t xml:space="preserve">une procédure de recouvrement forcé, diligentée par le Service </w:t>
      </w:r>
      <w:r w:rsidR="009D3C8B" w:rsidRPr="005921C2">
        <w:rPr>
          <w:rFonts w:ascii="Dax-Regular" w:hAnsi="Dax-Regular"/>
          <w:i/>
          <w:iCs/>
          <w:sz w:val="24"/>
          <w:szCs w:val="24"/>
        </w:rPr>
        <w:t>de gestion Comptable de Hyères après émission d’un titre de recette.</w:t>
      </w:r>
    </w:p>
    <w:p w14:paraId="5B0A3E50" w14:textId="77777777" w:rsidR="00B958C6" w:rsidRPr="005921C2" w:rsidRDefault="00B958C6" w:rsidP="0059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Dax-Regular" w:hAnsi="Dax-Regular"/>
          <w:i/>
          <w:iCs/>
          <w:sz w:val="24"/>
          <w:szCs w:val="24"/>
        </w:rPr>
      </w:pPr>
    </w:p>
    <w:p w14:paraId="6FB5BC7E" w14:textId="3CFCF300" w:rsidR="00B958C6" w:rsidRPr="005921C2" w:rsidRDefault="00B958C6" w:rsidP="0059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Dax-Regular" w:hAnsi="Dax-Regular"/>
          <w:b/>
          <w:bCs/>
          <w:i/>
          <w:iCs/>
          <w:sz w:val="24"/>
          <w:szCs w:val="24"/>
        </w:rPr>
      </w:pPr>
      <w:r w:rsidRPr="005921C2">
        <w:rPr>
          <w:rFonts w:ascii="Dax-Regular" w:hAnsi="Dax-Regular"/>
          <w:b/>
          <w:bCs/>
          <w:i/>
          <w:iCs/>
          <w:sz w:val="24"/>
          <w:szCs w:val="24"/>
        </w:rPr>
        <w:t>Ce tarif sera applicable à compter du</w:t>
      </w:r>
      <w:r w:rsidR="00762772" w:rsidRPr="005921C2">
        <w:rPr>
          <w:rFonts w:ascii="Dax-Regular" w:hAnsi="Dax-Regular"/>
          <w:b/>
          <w:bCs/>
          <w:i/>
          <w:iCs/>
          <w:sz w:val="24"/>
          <w:szCs w:val="24"/>
        </w:rPr>
        <w:t xml:space="preserve"> 01/01/</w:t>
      </w:r>
      <w:r w:rsidRPr="005921C2">
        <w:rPr>
          <w:rFonts w:ascii="Dax-Regular" w:hAnsi="Dax-Regular"/>
          <w:b/>
          <w:bCs/>
          <w:i/>
          <w:iCs/>
          <w:sz w:val="24"/>
          <w:szCs w:val="24"/>
        </w:rPr>
        <w:t>202</w:t>
      </w:r>
      <w:r w:rsidR="00522767" w:rsidRPr="005921C2">
        <w:rPr>
          <w:rFonts w:ascii="Dax-Regular" w:hAnsi="Dax-Regular"/>
          <w:b/>
          <w:bCs/>
          <w:i/>
          <w:iCs/>
          <w:sz w:val="24"/>
          <w:szCs w:val="24"/>
        </w:rPr>
        <w:t>5</w:t>
      </w:r>
      <w:r w:rsidRPr="005921C2">
        <w:rPr>
          <w:rFonts w:ascii="Dax-Regular" w:hAnsi="Dax-Regular"/>
          <w:b/>
          <w:bCs/>
          <w:i/>
          <w:iCs/>
          <w:sz w:val="24"/>
          <w:szCs w:val="24"/>
        </w:rPr>
        <w:t>.</w:t>
      </w:r>
    </w:p>
    <w:sectPr w:rsidR="00B958C6" w:rsidRPr="005921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1484" w14:textId="77777777" w:rsidR="0092777F" w:rsidRDefault="0092777F" w:rsidP="008A002F">
      <w:pPr>
        <w:spacing w:after="0" w:line="240" w:lineRule="auto"/>
      </w:pPr>
      <w:r>
        <w:separator/>
      </w:r>
    </w:p>
  </w:endnote>
  <w:endnote w:type="continuationSeparator" w:id="0">
    <w:p w14:paraId="76A2A98F" w14:textId="77777777" w:rsidR="0092777F" w:rsidRDefault="0092777F" w:rsidP="008A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F14D" w14:textId="77777777" w:rsidR="00D805D2" w:rsidRDefault="00D805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521617"/>
      <w:docPartObj>
        <w:docPartGallery w:val="Page Numbers (Bottom of Page)"/>
        <w:docPartUnique/>
      </w:docPartObj>
    </w:sdtPr>
    <w:sdtEndPr/>
    <w:sdtContent>
      <w:p w14:paraId="64A237A2" w14:textId="77777777" w:rsidR="00261A47" w:rsidRDefault="00261A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8B">
          <w:rPr>
            <w:noProof/>
          </w:rPr>
          <w:t>10</w:t>
        </w:r>
        <w:r>
          <w:fldChar w:fldCharType="end"/>
        </w:r>
      </w:p>
    </w:sdtContent>
  </w:sdt>
  <w:p w14:paraId="3E3D39F6" w14:textId="77777777" w:rsidR="00261A47" w:rsidRDefault="00261A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C7DD" w14:textId="77777777" w:rsidR="00D805D2" w:rsidRDefault="00D805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E8A7" w14:textId="77777777" w:rsidR="0092777F" w:rsidRDefault="0092777F" w:rsidP="008A002F">
      <w:pPr>
        <w:spacing w:after="0" w:line="240" w:lineRule="auto"/>
      </w:pPr>
      <w:r>
        <w:separator/>
      </w:r>
    </w:p>
  </w:footnote>
  <w:footnote w:type="continuationSeparator" w:id="0">
    <w:p w14:paraId="75E77ECC" w14:textId="77777777" w:rsidR="0092777F" w:rsidRDefault="0092777F" w:rsidP="008A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3E26" w14:textId="77777777" w:rsidR="00D805D2" w:rsidRDefault="00D805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5520" w14:textId="6EE460E5" w:rsidR="00D805D2" w:rsidRDefault="00D805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853B" w14:textId="77777777" w:rsidR="00D805D2" w:rsidRDefault="00D805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CDE"/>
    <w:multiLevelType w:val="hybridMultilevel"/>
    <w:tmpl w:val="02F4C660"/>
    <w:lvl w:ilvl="0" w:tplc="D64EF63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2503BD"/>
    <w:multiLevelType w:val="hybridMultilevel"/>
    <w:tmpl w:val="54628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6CD1"/>
    <w:multiLevelType w:val="hybridMultilevel"/>
    <w:tmpl w:val="51E67C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00F4"/>
    <w:multiLevelType w:val="hybridMultilevel"/>
    <w:tmpl w:val="D376F3A8"/>
    <w:lvl w:ilvl="0" w:tplc="FE4A2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E7B6B"/>
    <w:multiLevelType w:val="hybridMultilevel"/>
    <w:tmpl w:val="CB3099D4"/>
    <w:lvl w:ilvl="0" w:tplc="3E3AADBE">
      <w:start w:val="2"/>
      <w:numFmt w:val="bullet"/>
      <w:lvlText w:val="-"/>
      <w:lvlJc w:val="left"/>
      <w:pPr>
        <w:ind w:left="1770" w:hanging="360"/>
      </w:pPr>
      <w:rPr>
        <w:rFonts w:ascii="Dax-Regular" w:eastAsiaTheme="minorHAnsi" w:hAnsi="Dax-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A383531"/>
    <w:multiLevelType w:val="hybridMultilevel"/>
    <w:tmpl w:val="68E0DB8A"/>
    <w:lvl w:ilvl="0" w:tplc="4F3AD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07DDE"/>
    <w:multiLevelType w:val="hybridMultilevel"/>
    <w:tmpl w:val="594AD4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F1ED8"/>
    <w:multiLevelType w:val="hybridMultilevel"/>
    <w:tmpl w:val="D1C4007A"/>
    <w:lvl w:ilvl="0" w:tplc="AAAE46E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5B13F8"/>
    <w:multiLevelType w:val="hybridMultilevel"/>
    <w:tmpl w:val="9DF2EE80"/>
    <w:lvl w:ilvl="0" w:tplc="FFC61784">
      <w:start w:val="1"/>
      <w:numFmt w:val="decimal"/>
      <w:lvlText w:val="%1)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E44D37"/>
    <w:multiLevelType w:val="hybridMultilevel"/>
    <w:tmpl w:val="E6EC9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04A4E"/>
    <w:multiLevelType w:val="hybridMultilevel"/>
    <w:tmpl w:val="E72E8C6C"/>
    <w:lvl w:ilvl="0" w:tplc="8C202C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E6C49"/>
    <w:multiLevelType w:val="hybridMultilevel"/>
    <w:tmpl w:val="21B45F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67BE"/>
    <w:multiLevelType w:val="hybridMultilevel"/>
    <w:tmpl w:val="1BE0A6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1E95"/>
    <w:multiLevelType w:val="hybridMultilevel"/>
    <w:tmpl w:val="EEF4890A"/>
    <w:lvl w:ilvl="0" w:tplc="C6D0B81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914215"/>
    <w:multiLevelType w:val="hybridMultilevel"/>
    <w:tmpl w:val="6A26C47A"/>
    <w:lvl w:ilvl="0" w:tplc="CE6C9A50">
      <w:start w:val="2"/>
      <w:numFmt w:val="bullet"/>
      <w:lvlText w:val="-"/>
      <w:lvlJc w:val="left"/>
      <w:pPr>
        <w:ind w:left="1773" w:hanging="360"/>
      </w:pPr>
      <w:rPr>
        <w:rFonts w:ascii="Dax-Regular" w:eastAsiaTheme="minorHAnsi" w:hAnsi="Dax-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 w15:restartNumberingAfterBreak="0">
    <w:nsid w:val="27371ED2"/>
    <w:multiLevelType w:val="hybridMultilevel"/>
    <w:tmpl w:val="2578C7A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8270C3"/>
    <w:multiLevelType w:val="hybridMultilevel"/>
    <w:tmpl w:val="158C1AEC"/>
    <w:lvl w:ilvl="0" w:tplc="5A2EFE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70313"/>
    <w:multiLevelType w:val="hybridMultilevel"/>
    <w:tmpl w:val="5B2E829E"/>
    <w:lvl w:ilvl="0" w:tplc="BD723F3C">
      <w:start w:val="1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2931064D"/>
    <w:multiLevelType w:val="hybridMultilevel"/>
    <w:tmpl w:val="A314E4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0033"/>
    <w:multiLevelType w:val="hybridMultilevel"/>
    <w:tmpl w:val="5228549A"/>
    <w:lvl w:ilvl="0" w:tplc="C3D67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9927B7"/>
    <w:multiLevelType w:val="hybridMultilevel"/>
    <w:tmpl w:val="0240D2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21"/>
    <w:multiLevelType w:val="hybridMultilevel"/>
    <w:tmpl w:val="5F640306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F215B2">
      <w:start w:val="3"/>
      <w:numFmt w:val="bullet"/>
      <w:lvlText w:val="-"/>
      <w:lvlJc w:val="left"/>
      <w:pPr>
        <w:ind w:left="2520" w:hanging="360"/>
      </w:pPr>
      <w:rPr>
        <w:rFonts w:ascii="Dax-Regular" w:eastAsiaTheme="minorHAnsi" w:hAnsi="Dax-Regular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472F66"/>
    <w:multiLevelType w:val="hybridMultilevel"/>
    <w:tmpl w:val="91923766"/>
    <w:lvl w:ilvl="0" w:tplc="48068C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67CC4"/>
    <w:multiLevelType w:val="hybridMultilevel"/>
    <w:tmpl w:val="FAA2CF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D0A84"/>
    <w:multiLevelType w:val="hybridMultilevel"/>
    <w:tmpl w:val="51E67C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049BD"/>
    <w:multiLevelType w:val="hybridMultilevel"/>
    <w:tmpl w:val="7D1650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74D4"/>
    <w:multiLevelType w:val="hybridMultilevel"/>
    <w:tmpl w:val="68A62E50"/>
    <w:lvl w:ilvl="0" w:tplc="AE86F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0549CA"/>
    <w:multiLevelType w:val="hybridMultilevel"/>
    <w:tmpl w:val="31EC7244"/>
    <w:lvl w:ilvl="0" w:tplc="4F3AD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EA4722"/>
    <w:multiLevelType w:val="hybridMultilevel"/>
    <w:tmpl w:val="27508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E4CB1"/>
    <w:multiLevelType w:val="hybridMultilevel"/>
    <w:tmpl w:val="07662B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67F9A"/>
    <w:multiLevelType w:val="hybridMultilevel"/>
    <w:tmpl w:val="C00E94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D1383"/>
    <w:multiLevelType w:val="hybridMultilevel"/>
    <w:tmpl w:val="99584FDA"/>
    <w:lvl w:ilvl="0" w:tplc="3E3AADBE">
      <w:start w:val="2"/>
      <w:numFmt w:val="bullet"/>
      <w:lvlText w:val="-"/>
      <w:lvlJc w:val="left"/>
      <w:pPr>
        <w:ind w:left="2838" w:hanging="360"/>
      </w:pPr>
      <w:rPr>
        <w:rFonts w:ascii="Dax-Regular" w:eastAsiaTheme="minorHAnsi" w:hAnsi="Dax-Regular" w:cstheme="minorBidi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56FD01E1"/>
    <w:multiLevelType w:val="hybridMultilevel"/>
    <w:tmpl w:val="CED8AE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71C5D"/>
    <w:multiLevelType w:val="hybridMultilevel"/>
    <w:tmpl w:val="59BE22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C1BB5"/>
    <w:multiLevelType w:val="hybridMultilevel"/>
    <w:tmpl w:val="00448704"/>
    <w:lvl w:ilvl="0" w:tplc="003AF636">
      <w:start w:val="5"/>
      <w:numFmt w:val="bullet"/>
      <w:lvlText w:val="-"/>
      <w:lvlJc w:val="left"/>
      <w:pPr>
        <w:ind w:left="720" w:hanging="360"/>
      </w:pPr>
      <w:rPr>
        <w:rFonts w:ascii="Dax-Regular" w:eastAsiaTheme="minorHAnsi" w:hAnsi="Dax-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807BA"/>
    <w:multiLevelType w:val="hybridMultilevel"/>
    <w:tmpl w:val="EAD480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E5D6A"/>
    <w:multiLevelType w:val="hybridMultilevel"/>
    <w:tmpl w:val="E9A02F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7D39"/>
    <w:multiLevelType w:val="hybridMultilevel"/>
    <w:tmpl w:val="B78CEAB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84720F"/>
    <w:multiLevelType w:val="hybridMultilevel"/>
    <w:tmpl w:val="D5F249AE"/>
    <w:lvl w:ilvl="0" w:tplc="401CC666">
      <w:start w:val="2"/>
      <w:numFmt w:val="bullet"/>
      <w:lvlText w:val="-"/>
      <w:lvlJc w:val="left"/>
      <w:pPr>
        <w:ind w:left="1065" w:hanging="360"/>
      </w:pPr>
      <w:rPr>
        <w:rFonts w:ascii="Dax-Regular" w:eastAsiaTheme="minorHAnsi" w:hAnsi="Dax-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81A0276"/>
    <w:multiLevelType w:val="hybridMultilevel"/>
    <w:tmpl w:val="5E0C6D50"/>
    <w:lvl w:ilvl="0" w:tplc="0F98988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A4C1B"/>
    <w:multiLevelType w:val="hybridMultilevel"/>
    <w:tmpl w:val="18E45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4771F"/>
    <w:multiLevelType w:val="hybridMultilevel"/>
    <w:tmpl w:val="8C38A5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51427"/>
    <w:multiLevelType w:val="hybridMultilevel"/>
    <w:tmpl w:val="8CBE01E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C10A3E"/>
    <w:multiLevelType w:val="hybridMultilevel"/>
    <w:tmpl w:val="88FE2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9109">
    <w:abstractNumId w:val="15"/>
  </w:num>
  <w:num w:numId="2" w16cid:durableId="921136189">
    <w:abstractNumId w:val="14"/>
  </w:num>
  <w:num w:numId="3" w16cid:durableId="1462923929">
    <w:abstractNumId w:val="38"/>
  </w:num>
  <w:num w:numId="4" w16cid:durableId="1233541994">
    <w:abstractNumId w:val="4"/>
  </w:num>
  <w:num w:numId="5" w16cid:durableId="781460674">
    <w:abstractNumId w:val="13"/>
  </w:num>
  <w:num w:numId="6" w16cid:durableId="1109549284">
    <w:abstractNumId w:val="31"/>
  </w:num>
  <w:num w:numId="7" w16cid:durableId="776170551">
    <w:abstractNumId w:val="42"/>
  </w:num>
  <w:num w:numId="8" w16cid:durableId="1167088153">
    <w:abstractNumId w:val="25"/>
  </w:num>
  <w:num w:numId="9" w16cid:durableId="2140607633">
    <w:abstractNumId w:val="1"/>
  </w:num>
  <w:num w:numId="10" w16cid:durableId="1518620358">
    <w:abstractNumId w:val="19"/>
  </w:num>
  <w:num w:numId="11" w16cid:durableId="1348214442">
    <w:abstractNumId w:val="26"/>
  </w:num>
  <w:num w:numId="12" w16cid:durableId="551623615">
    <w:abstractNumId w:val="3"/>
  </w:num>
  <w:num w:numId="13" w16cid:durableId="11028762">
    <w:abstractNumId w:val="17"/>
  </w:num>
  <w:num w:numId="14" w16cid:durableId="2007900388">
    <w:abstractNumId w:val="20"/>
  </w:num>
  <w:num w:numId="15" w16cid:durableId="2045514404">
    <w:abstractNumId w:val="28"/>
  </w:num>
  <w:num w:numId="16" w16cid:durableId="1521970851">
    <w:abstractNumId w:val="43"/>
  </w:num>
  <w:num w:numId="17" w16cid:durableId="165947091">
    <w:abstractNumId w:val="2"/>
  </w:num>
  <w:num w:numId="18" w16cid:durableId="1194925795">
    <w:abstractNumId w:val="6"/>
  </w:num>
  <w:num w:numId="19" w16cid:durableId="1231312581">
    <w:abstractNumId w:val="9"/>
  </w:num>
  <w:num w:numId="20" w16cid:durableId="1594163710">
    <w:abstractNumId w:val="34"/>
  </w:num>
  <w:num w:numId="21" w16cid:durableId="522789780">
    <w:abstractNumId w:val="24"/>
  </w:num>
  <w:num w:numId="22" w16cid:durableId="227425953">
    <w:abstractNumId w:val="12"/>
  </w:num>
  <w:num w:numId="23" w16cid:durableId="603420437">
    <w:abstractNumId w:val="18"/>
  </w:num>
  <w:num w:numId="24" w16cid:durableId="494608701">
    <w:abstractNumId w:val="39"/>
  </w:num>
  <w:num w:numId="25" w16cid:durableId="1822962602">
    <w:abstractNumId w:val="36"/>
  </w:num>
  <w:num w:numId="26" w16cid:durableId="698168269">
    <w:abstractNumId w:val="41"/>
  </w:num>
  <w:num w:numId="27" w16cid:durableId="1959752988">
    <w:abstractNumId w:val="40"/>
  </w:num>
  <w:num w:numId="28" w16cid:durableId="284242737">
    <w:abstractNumId w:val="22"/>
  </w:num>
  <w:num w:numId="29" w16cid:durableId="241452195">
    <w:abstractNumId w:val="35"/>
  </w:num>
  <w:num w:numId="30" w16cid:durableId="1380396989">
    <w:abstractNumId w:val="33"/>
  </w:num>
  <w:num w:numId="31" w16cid:durableId="1761488436">
    <w:abstractNumId w:val="21"/>
  </w:num>
  <w:num w:numId="32" w16cid:durableId="1378318523">
    <w:abstractNumId w:val="10"/>
  </w:num>
  <w:num w:numId="33" w16cid:durableId="874462828">
    <w:abstractNumId w:val="27"/>
  </w:num>
  <w:num w:numId="34" w16cid:durableId="1068503973">
    <w:abstractNumId w:val="5"/>
  </w:num>
  <w:num w:numId="35" w16cid:durableId="370158315">
    <w:abstractNumId w:val="16"/>
  </w:num>
  <w:num w:numId="36" w16cid:durableId="775829867">
    <w:abstractNumId w:val="30"/>
  </w:num>
  <w:num w:numId="37" w16cid:durableId="1209143167">
    <w:abstractNumId w:val="11"/>
  </w:num>
  <w:num w:numId="38" w16cid:durableId="860122766">
    <w:abstractNumId w:val="32"/>
  </w:num>
  <w:num w:numId="39" w16cid:durableId="1439253536">
    <w:abstractNumId w:val="29"/>
  </w:num>
  <w:num w:numId="40" w16cid:durableId="1164247345">
    <w:abstractNumId w:val="7"/>
  </w:num>
  <w:num w:numId="41" w16cid:durableId="1207373837">
    <w:abstractNumId w:val="37"/>
  </w:num>
  <w:num w:numId="42" w16cid:durableId="288829585">
    <w:abstractNumId w:val="0"/>
  </w:num>
  <w:num w:numId="43" w16cid:durableId="122509397">
    <w:abstractNumId w:val="8"/>
  </w:num>
  <w:num w:numId="44" w16cid:durableId="13709109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E4"/>
    <w:rsid w:val="00004BC2"/>
    <w:rsid w:val="00012208"/>
    <w:rsid w:val="000374F5"/>
    <w:rsid w:val="00045708"/>
    <w:rsid w:val="000856F1"/>
    <w:rsid w:val="000A455A"/>
    <w:rsid w:val="000E22FC"/>
    <w:rsid w:val="000E31CD"/>
    <w:rsid w:val="000F6719"/>
    <w:rsid w:val="001066B8"/>
    <w:rsid w:val="001114D4"/>
    <w:rsid w:val="00121836"/>
    <w:rsid w:val="00134004"/>
    <w:rsid w:val="00135E58"/>
    <w:rsid w:val="00141E42"/>
    <w:rsid w:val="0014500F"/>
    <w:rsid w:val="00155D60"/>
    <w:rsid w:val="00197F10"/>
    <w:rsid w:val="001A523C"/>
    <w:rsid w:val="001B26CA"/>
    <w:rsid w:val="001B2C54"/>
    <w:rsid w:val="001C1A0C"/>
    <w:rsid w:val="001D35E9"/>
    <w:rsid w:val="001E262C"/>
    <w:rsid w:val="001F599B"/>
    <w:rsid w:val="001F7231"/>
    <w:rsid w:val="001F7DFA"/>
    <w:rsid w:val="002110CD"/>
    <w:rsid w:val="0021637A"/>
    <w:rsid w:val="00223B8E"/>
    <w:rsid w:val="00231116"/>
    <w:rsid w:val="0024136F"/>
    <w:rsid w:val="002558FC"/>
    <w:rsid w:val="00261A47"/>
    <w:rsid w:val="002735D7"/>
    <w:rsid w:val="00281235"/>
    <w:rsid w:val="00286D5E"/>
    <w:rsid w:val="002911F1"/>
    <w:rsid w:val="00297D7C"/>
    <w:rsid w:val="002A10D9"/>
    <w:rsid w:val="002B5951"/>
    <w:rsid w:val="002B6E08"/>
    <w:rsid w:val="002C705E"/>
    <w:rsid w:val="002D6DC4"/>
    <w:rsid w:val="002E184D"/>
    <w:rsid w:val="002E6395"/>
    <w:rsid w:val="00313DF2"/>
    <w:rsid w:val="00344323"/>
    <w:rsid w:val="00346E60"/>
    <w:rsid w:val="00347436"/>
    <w:rsid w:val="00355EE2"/>
    <w:rsid w:val="00365530"/>
    <w:rsid w:val="00366230"/>
    <w:rsid w:val="003A54AC"/>
    <w:rsid w:val="003B5F41"/>
    <w:rsid w:val="003C2E5D"/>
    <w:rsid w:val="003E7CBD"/>
    <w:rsid w:val="003F07E4"/>
    <w:rsid w:val="003F1826"/>
    <w:rsid w:val="00403219"/>
    <w:rsid w:val="0040333A"/>
    <w:rsid w:val="00406977"/>
    <w:rsid w:val="00412330"/>
    <w:rsid w:val="004206BC"/>
    <w:rsid w:val="004209FE"/>
    <w:rsid w:val="00423C04"/>
    <w:rsid w:val="00424678"/>
    <w:rsid w:val="0043670B"/>
    <w:rsid w:val="00455DF6"/>
    <w:rsid w:val="0046629A"/>
    <w:rsid w:val="00485C30"/>
    <w:rsid w:val="00496880"/>
    <w:rsid w:val="004A3968"/>
    <w:rsid w:val="004A62DB"/>
    <w:rsid w:val="004B34DB"/>
    <w:rsid w:val="004B42F3"/>
    <w:rsid w:val="004D258B"/>
    <w:rsid w:val="004D4AB7"/>
    <w:rsid w:val="004D69B8"/>
    <w:rsid w:val="004E396A"/>
    <w:rsid w:val="004E4ADA"/>
    <w:rsid w:val="005062CC"/>
    <w:rsid w:val="00522767"/>
    <w:rsid w:val="00534B4A"/>
    <w:rsid w:val="00555388"/>
    <w:rsid w:val="00556A21"/>
    <w:rsid w:val="00565C58"/>
    <w:rsid w:val="005921C2"/>
    <w:rsid w:val="00592B75"/>
    <w:rsid w:val="005964EA"/>
    <w:rsid w:val="005A6331"/>
    <w:rsid w:val="005A690E"/>
    <w:rsid w:val="005B12A6"/>
    <w:rsid w:val="005C1A46"/>
    <w:rsid w:val="005D46CB"/>
    <w:rsid w:val="005F3026"/>
    <w:rsid w:val="005F3819"/>
    <w:rsid w:val="00601E7E"/>
    <w:rsid w:val="006021B8"/>
    <w:rsid w:val="006022B7"/>
    <w:rsid w:val="00627A01"/>
    <w:rsid w:val="00637E49"/>
    <w:rsid w:val="00643B64"/>
    <w:rsid w:val="00673F61"/>
    <w:rsid w:val="006767E5"/>
    <w:rsid w:val="00686D24"/>
    <w:rsid w:val="006B03AC"/>
    <w:rsid w:val="006B4958"/>
    <w:rsid w:val="006C0233"/>
    <w:rsid w:val="006D327F"/>
    <w:rsid w:val="006D3CB1"/>
    <w:rsid w:val="006E5C03"/>
    <w:rsid w:val="006F4276"/>
    <w:rsid w:val="006F4DF5"/>
    <w:rsid w:val="006F6523"/>
    <w:rsid w:val="007043A3"/>
    <w:rsid w:val="007132F7"/>
    <w:rsid w:val="007257DC"/>
    <w:rsid w:val="00726065"/>
    <w:rsid w:val="00750F1B"/>
    <w:rsid w:val="0075123E"/>
    <w:rsid w:val="007522C0"/>
    <w:rsid w:val="00761974"/>
    <w:rsid w:val="00762772"/>
    <w:rsid w:val="007773E0"/>
    <w:rsid w:val="0077741A"/>
    <w:rsid w:val="00786FBB"/>
    <w:rsid w:val="0079053E"/>
    <w:rsid w:val="007979FD"/>
    <w:rsid w:val="007B7EE1"/>
    <w:rsid w:val="007C07CB"/>
    <w:rsid w:val="007C1C57"/>
    <w:rsid w:val="007C40C6"/>
    <w:rsid w:val="007D4A5B"/>
    <w:rsid w:val="007D5463"/>
    <w:rsid w:val="007E3303"/>
    <w:rsid w:val="007E7F01"/>
    <w:rsid w:val="00814228"/>
    <w:rsid w:val="008169D8"/>
    <w:rsid w:val="00840EC1"/>
    <w:rsid w:val="008604C8"/>
    <w:rsid w:val="00865194"/>
    <w:rsid w:val="00867B2A"/>
    <w:rsid w:val="00875BE2"/>
    <w:rsid w:val="008810D0"/>
    <w:rsid w:val="008A002F"/>
    <w:rsid w:val="008A70E9"/>
    <w:rsid w:val="008C305C"/>
    <w:rsid w:val="008E2D44"/>
    <w:rsid w:val="009032BA"/>
    <w:rsid w:val="009111E5"/>
    <w:rsid w:val="00911BAE"/>
    <w:rsid w:val="00922762"/>
    <w:rsid w:val="009272EB"/>
    <w:rsid w:val="0092777F"/>
    <w:rsid w:val="00933DEE"/>
    <w:rsid w:val="0095439D"/>
    <w:rsid w:val="00977132"/>
    <w:rsid w:val="00991EC4"/>
    <w:rsid w:val="009D3C8B"/>
    <w:rsid w:val="009E23D3"/>
    <w:rsid w:val="009E4B37"/>
    <w:rsid w:val="009E66C1"/>
    <w:rsid w:val="00A0265B"/>
    <w:rsid w:val="00A06FE2"/>
    <w:rsid w:val="00A100D5"/>
    <w:rsid w:val="00A200EC"/>
    <w:rsid w:val="00A436BF"/>
    <w:rsid w:val="00A43F2A"/>
    <w:rsid w:val="00A549C8"/>
    <w:rsid w:val="00A56387"/>
    <w:rsid w:val="00A73BA9"/>
    <w:rsid w:val="00AA1D67"/>
    <w:rsid w:val="00AA445B"/>
    <w:rsid w:val="00AB042B"/>
    <w:rsid w:val="00AB6374"/>
    <w:rsid w:val="00AC6FEA"/>
    <w:rsid w:val="00AF18AA"/>
    <w:rsid w:val="00B16608"/>
    <w:rsid w:val="00B43B07"/>
    <w:rsid w:val="00B63C4B"/>
    <w:rsid w:val="00B63E45"/>
    <w:rsid w:val="00B71A76"/>
    <w:rsid w:val="00B84248"/>
    <w:rsid w:val="00B9571E"/>
    <w:rsid w:val="00B958C6"/>
    <w:rsid w:val="00B96750"/>
    <w:rsid w:val="00BA181A"/>
    <w:rsid w:val="00BA6ED3"/>
    <w:rsid w:val="00BF42BE"/>
    <w:rsid w:val="00C345CE"/>
    <w:rsid w:val="00C652F7"/>
    <w:rsid w:val="00C71598"/>
    <w:rsid w:val="00C90DAB"/>
    <w:rsid w:val="00CA1218"/>
    <w:rsid w:val="00CA4205"/>
    <w:rsid w:val="00CA4ACC"/>
    <w:rsid w:val="00CC20B8"/>
    <w:rsid w:val="00CC5D7A"/>
    <w:rsid w:val="00CD0508"/>
    <w:rsid w:val="00CD478F"/>
    <w:rsid w:val="00CE768B"/>
    <w:rsid w:val="00D223FD"/>
    <w:rsid w:val="00D25CD1"/>
    <w:rsid w:val="00D25D77"/>
    <w:rsid w:val="00D40F91"/>
    <w:rsid w:val="00D523EC"/>
    <w:rsid w:val="00D57287"/>
    <w:rsid w:val="00D675B7"/>
    <w:rsid w:val="00D7421A"/>
    <w:rsid w:val="00D805D2"/>
    <w:rsid w:val="00D87332"/>
    <w:rsid w:val="00D87A92"/>
    <w:rsid w:val="00D9116C"/>
    <w:rsid w:val="00D97063"/>
    <w:rsid w:val="00DB1F8B"/>
    <w:rsid w:val="00DD12A1"/>
    <w:rsid w:val="00E0345D"/>
    <w:rsid w:val="00E11C05"/>
    <w:rsid w:val="00E210ED"/>
    <w:rsid w:val="00E228F5"/>
    <w:rsid w:val="00E24219"/>
    <w:rsid w:val="00E243B1"/>
    <w:rsid w:val="00E27778"/>
    <w:rsid w:val="00E3121E"/>
    <w:rsid w:val="00E32085"/>
    <w:rsid w:val="00E34D53"/>
    <w:rsid w:val="00E65C6D"/>
    <w:rsid w:val="00E75493"/>
    <w:rsid w:val="00E90984"/>
    <w:rsid w:val="00E952D3"/>
    <w:rsid w:val="00E95873"/>
    <w:rsid w:val="00E97A29"/>
    <w:rsid w:val="00EA378E"/>
    <w:rsid w:val="00ED637B"/>
    <w:rsid w:val="00EE0FC3"/>
    <w:rsid w:val="00EF00F6"/>
    <w:rsid w:val="00EF1575"/>
    <w:rsid w:val="00EF1D58"/>
    <w:rsid w:val="00F12283"/>
    <w:rsid w:val="00F14641"/>
    <w:rsid w:val="00F14C70"/>
    <w:rsid w:val="00F2277A"/>
    <w:rsid w:val="00F22E67"/>
    <w:rsid w:val="00F33A2B"/>
    <w:rsid w:val="00F53E73"/>
    <w:rsid w:val="00F64EB4"/>
    <w:rsid w:val="00F75DEB"/>
    <w:rsid w:val="00F829A1"/>
    <w:rsid w:val="00F85248"/>
    <w:rsid w:val="00FA32DC"/>
    <w:rsid w:val="00FC2B6F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00246"/>
  <w15:chartTrackingRefBased/>
  <w15:docId w15:val="{5C21A959-5133-453C-87BE-62AB55F9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3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02F"/>
  </w:style>
  <w:style w:type="paragraph" w:styleId="Pieddepage">
    <w:name w:val="footer"/>
    <w:basedOn w:val="Normal"/>
    <w:link w:val="PieddepageCar"/>
    <w:uiPriority w:val="99"/>
    <w:unhideWhenUsed/>
    <w:rsid w:val="008A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02F"/>
  </w:style>
  <w:style w:type="table" w:styleId="Grilledutableau">
    <w:name w:val="Table Grid"/>
    <w:basedOn w:val="TableauNormal"/>
    <w:uiPriority w:val="39"/>
    <w:rsid w:val="006F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CD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A10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0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0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0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0D9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D80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3FA-B790-4B9A-9FB7-C5A00D06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16</Pages>
  <Words>2848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Pasqua</dc:creator>
  <cp:keywords/>
  <dc:description/>
  <cp:lastModifiedBy>Valerie Pasqua</cp:lastModifiedBy>
  <cp:revision>43</cp:revision>
  <cp:lastPrinted>2024-11-08T15:20:00Z</cp:lastPrinted>
  <dcterms:created xsi:type="dcterms:W3CDTF">2023-10-09T06:31:00Z</dcterms:created>
  <dcterms:modified xsi:type="dcterms:W3CDTF">2024-12-05T10:31:00Z</dcterms:modified>
</cp:coreProperties>
</file>